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7CC91" w14:textId="77777777" w:rsidR="00F44042" w:rsidRPr="001F7344" w:rsidRDefault="00F44042" w:rsidP="00F44042">
      <w:pPr>
        <w:rPr>
          <w:rFonts w:ascii="Arial" w:hAnsi="Arial" w:cs="Arial"/>
          <w:sz w:val="24"/>
          <w:szCs w:val="24"/>
        </w:rPr>
      </w:pPr>
    </w:p>
    <w:p w14:paraId="533FDB73"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hAnsi="Arial" w:cs="Arial"/>
          <w:b/>
          <w:bCs/>
        </w:rPr>
        <w:t>1.</w:t>
      </w:r>
      <w:r w:rsidRPr="001F7344">
        <w:rPr>
          <w:rFonts w:ascii="Arial" w:hAnsi="Arial" w:cs="Arial"/>
        </w:rPr>
        <w:t xml:space="preserve"> </w:t>
      </w:r>
      <w:r w:rsidRPr="001F7344">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F44042" w:rsidRPr="001F7344" w14:paraId="3FDA94E6"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3D29F85"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23E9BDD"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46EE525D" w14:textId="3EDD71BF" w:rsidR="00F44042" w:rsidRPr="001F7344" w:rsidRDefault="00F44042" w:rsidP="00F9094C">
            <w:pPr>
              <w:rPr>
                <w:rFonts w:ascii="Arial" w:hAnsi="Arial" w:cs="Arial"/>
                <w:sz w:val="24"/>
                <w:szCs w:val="24"/>
              </w:rPr>
            </w:pPr>
            <w:r w:rsidRPr="001F7344">
              <w:rPr>
                <w:rFonts w:ascii="Arial" w:hAnsi="Arial" w:cs="Arial"/>
                <w:sz w:val="24"/>
                <w:szCs w:val="24"/>
              </w:rPr>
              <w:t xml:space="preserve">ACTAS/ </w:t>
            </w:r>
            <w:r w:rsidR="00F146EA" w:rsidRPr="00F146EA">
              <w:rPr>
                <w:rFonts w:ascii="Arial" w:hAnsi="Arial" w:cs="Arial"/>
                <w:sz w:val="24"/>
                <w:szCs w:val="24"/>
              </w:rPr>
              <w:t>Actas del Comité de Admisiones</w:t>
            </w:r>
          </w:p>
        </w:tc>
      </w:tr>
      <w:tr w:rsidR="00F44042" w:rsidRPr="001F7344" w14:paraId="67DA81AB" w14:textId="77777777" w:rsidTr="00F9094C">
        <w:trPr>
          <w:trHeight w:val="809"/>
          <w:jc w:val="center"/>
        </w:trPr>
        <w:tc>
          <w:tcPr>
            <w:tcW w:w="351" w:type="pct"/>
            <w:shd w:val="clear" w:color="auto" w:fill="auto"/>
            <w:tcMar>
              <w:top w:w="15" w:type="dxa"/>
              <w:left w:w="56" w:type="dxa"/>
              <w:bottom w:w="0" w:type="dxa"/>
              <w:right w:w="56" w:type="dxa"/>
            </w:tcMar>
            <w:vAlign w:val="center"/>
            <w:hideMark/>
          </w:tcPr>
          <w:p w14:paraId="3F8F1099"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E7C9DA3"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3DB8712C" w14:textId="177962D9" w:rsidR="00F44042" w:rsidRPr="001F7344" w:rsidRDefault="00D83146" w:rsidP="00F9094C">
            <w:pPr>
              <w:jc w:val="both"/>
              <w:rPr>
                <w:rFonts w:ascii="Arial" w:hAnsi="Arial" w:cs="Arial"/>
                <w:sz w:val="24"/>
                <w:szCs w:val="24"/>
              </w:rPr>
            </w:pPr>
            <w:r w:rsidRPr="00D83146">
              <w:rPr>
                <w:rFonts w:ascii="Arial" w:hAnsi="Arial" w:cs="Arial"/>
                <w:sz w:val="24"/>
                <w:szCs w:val="24"/>
              </w:rPr>
              <w:t xml:space="preserve">Los documentos de esta subserie dan a conocer decisiones </w:t>
            </w:r>
            <w:r w:rsidR="003F0E67" w:rsidRPr="00D83146">
              <w:rPr>
                <w:rFonts w:ascii="Arial" w:hAnsi="Arial" w:cs="Arial"/>
                <w:sz w:val="24"/>
                <w:szCs w:val="24"/>
              </w:rPr>
              <w:t>sobre aspectos</w:t>
            </w:r>
            <w:r w:rsidRPr="00D83146">
              <w:rPr>
                <w:rFonts w:ascii="Arial" w:hAnsi="Arial" w:cs="Arial"/>
                <w:sz w:val="24"/>
                <w:szCs w:val="24"/>
              </w:rPr>
              <w:t xml:space="preserve"> de gobierno escolar solicitudes de matrícula. Lo anterior de conformidad con el Acuerdo 039 del 3 de diciembre de 2019. “Por el cual se modifica el Estatuto Organizacional de la Universidad Nacional Abierta y a Distancia (UNAD). Artículo 26. De los Sistemas y Redes de la Vicerrectoría de Inclusión Social, Desarrollo Regional y Proyección Comunitaria. Literal b) Sistema Nacional de Educación Permanente (SINEP). Dispositivo organizacional encargado de gestionar estrategias y programas específicos de alfabetización, educación básica y media, movilidad, articulación con la educación superior y la educación para el trabajo y el desarrollo humano”.</w:t>
            </w:r>
          </w:p>
        </w:tc>
      </w:tr>
      <w:tr w:rsidR="00F44042" w:rsidRPr="001F7344" w14:paraId="5A7CB5FB" w14:textId="77777777" w:rsidTr="00F9094C">
        <w:trPr>
          <w:trHeight w:val="309"/>
          <w:jc w:val="center"/>
        </w:trPr>
        <w:tc>
          <w:tcPr>
            <w:tcW w:w="351" w:type="pct"/>
            <w:shd w:val="clear" w:color="auto" w:fill="auto"/>
            <w:tcMar>
              <w:top w:w="15" w:type="dxa"/>
              <w:left w:w="56" w:type="dxa"/>
              <w:bottom w:w="0" w:type="dxa"/>
              <w:right w:w="56" w:type="dxa"/>
            </w:tcMar>
            <w:vAlign w:val="center"/>
          </w:tcPr>
          <w:p w14:paraId="44AD7169"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4CE49F63"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79C3756C" w14:textId="643EA83B" w:rsidR="00F44042" w:rsidRPr="001F7344" w:rsidRDefault="00F146EA" w:rsidP="00F9094C">
            <w:pPr>
              <w:jc w:val="both"/>
              <w:rPr>
                <w:rFonts w:ascii="Arial" w:hAnsi="Arial" w:cs="Arial"/>
                <w:sz w:val="24"/>
                <w:szCs w:val="24"/>
              </w:rPr>
            </w:pPr>
            <w:r w:rsidRPr="00F146EA">
              <w:rPr>
                <w:rFonts w:ascii="Arial" w:hAnsi="Arial" w:cs="Arial"/>
                <w:sz w:val="24"/>
                <w:szCs w:val="24"/>
              </w:rPr>
              <w:t>SISTEMA NACIONAL DE EDUCACIÓN PERMANENTE 106.1</w:t>
            </w:r>
          </w:p>
        </w:tc>
      </w:tr>
      <w:tr w:rsidR="00F44042" w:rsidRPr="001F7344" w14:paraId="1639F30F" w14:textId="77777777" w:rsidTr="00F9094C">
        <w:trPr>
          <w:trHeight w:val="309"/>
          <w:jc w:val="center"/>
        </w:trPr>
        <w:tc>
          <w:tcPr>
            <w:tcW w:w="351" w:type="pct"/>
            <w:shd w:val="clear" w:color="auto" w:fill="auto"/>
            <w:tcMar>
              <w:top w:w="15" w:type="dxa"/>
              <w:left w:w="56" w:type="dxa"/>
              <w:bottom w:w="0" w:type="dxa"/>
              <w:right w:w="56" w:type="dxa"/>
            </w:tcMar>
            <w:vAlign w:val="center"/>
          </w:tcPr>
          <w:p w14:paraId="7D5E40DC"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23EB4098"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319C6B0" w14:textId="77777777" w:rsidR="00F44042" w:rsidRPr="001F7344" w:rsidRDefault="00F44042" w:rsidP="00F9094C">
            <w:pPr>
              <w:jc w:val="both"/>
              <w:rPr>
                <w:rFonts w:ascii="Arial" w:hAnsi="Arial" w:cs="Arial"/>
                <w:b/>
                <w:bCs/>
                <w:sz w:val="24"/>
                <w:szCs w:val="24"/>
              </w:rPr>
            </w:pPr>
            <w:r w:rsidRPr="001F7344">
              <w:rPr>
                <w:rFonts w:ascii="Arial" w:hAnsi="Arial" w:cs="Arial"/>
                <w:b/>
                <w:bCs/>
                <w:sz w:val="24"/>
                <w:szCs w:val="24"/>
              </w:rPr>
              <w:t xml:space="preserve">Desde: </w:t>
            </w:r>
          </w:p>
        </w:tc>
        <w:tc>
          <w:tcPr>
            <w:tcW w:w="854" w:type="pct"/>
            <w:shd w:val="clear" w:color="auto" w:fill="auto"/>
            <w:vAlign w:val="center"/>
          </w:tcPr>
          <w:p w14:paraId="5EE7FBA4" w14:textId="77777777" w:rsidR="00F44042" w:rsidRPr="001F7344" w:rsidRDefault="00F44042" w:rsidP="00F9094C">
            <w:pPr>
              <w:jc w:val="both"/>
              <w:rPr>
                <w:rFonts w:ascii="Arial" w:hAnsi="Arial" w:cs="Arial"/>
                <w:sz w:val="24"/>
                <w:szCs w:val="24"/>
              </w:rPr>
            </w:pPr>
          </w:p>
        </w:tc>
        <w:tc>
          <w:tcPr>
            <w:tcW w:w="854" w:type="pct"/>
            <w:shd w:val="clear" w:color="auto" w:fill="auto"/>
            <w:vAlign w:val="center"/>
          </w:tcPr>
          <w:p w14:paraId="04ADBB24" w14:textId="77777777" w:rsidR="00F44042" w:rsidRPr="001F7344" w:rsidRDefault="00F44042" w:rsidP="00F9094C">
            <w:pPr>
              <w:jc w:val="both"/>
              <w:rPr>
                <w:rFonts w:ascii="Arial" w:hAnsi="Arial" w:cs="Arial"/>
                <w:b/>
                <w:bCs/>
                <w:sz w:val="24"/>
                <w:szCs w:val="24"/>
              </w:rPr>
            </w:pPr>
            <w:r w:rsidRPr="001F7344">
              <w:rPr>
                <w:rFonts w:ascii="Arial" w:hAnsi="Arial" w:cs="Arial"/>
                <w:b/>
                <w:bCs/>
                <w:sz w:val="24"/>
                <w:szCs w:val="24"/>
              </w:rPr>
              <w:t>Hasta:</w:t>
            </w:r>
          </w:p>
        </w:tc>
        <w:tc>
          <w:tcPr>
            <w:tcW w:w="853" w:type="pct"/>
            <w:shd w:val="clear" w:color="auto" w:fill="auto"/>
            <w:vAlign w:val="center"/>
          </w:tcPr>
          <w:p w14:paraId="17F11186" w14:textId="77777777" w:rsidR="00F44042" w:rsidRPr="001F7344" w:rsidRDefault="00F44042" w:rsidP="00F9094C">
            <w:pPr>
              <w:jc w:val="both"/>
              <w:rPr>
                <w:rFonts w:ascii="Arial" w:hAnsi="Arial" w:cs="Arial"/>
                <w:sz w:val="24"/>
                <w:szCs w:val="24"/>
              </w:rPr>
            </w:pPr>
          </w:p>
        </w:tc>
      </w:tr>
    </w:tbl>
    <w:p w14:paraId="482E54D3" w14:textId="77777777" w:rsidR="00F44042" w:rsidRPr="001F7344" w:rsidRDefault="00F44042" w:rsidP="00F44042">
      <w:pPr>
        <w:pStyle w:val="NormalWeb"/>
        <w:spacing w:before="0" w:beforeAutospacing="0" w:after="0" w:afterAutospacing="0" w:line="276" w:lineRule="auto"/>
        <w:jc w:val="both"/>
        <w:rPr>
          <w:rFonts w:ascii="Arial" w:hAnsi="Arial" w:cs="Arial"/>
        </w:rPr>
      </w:pPr>
    </w:p>
    <w:p w14:paraId="3478FC58" w14:textId="77777777" w:rsidR="00F44042" w:rsidRPr="001F7344" w:rsidRDefault="00F44042" w:rsidP="00F44042">
      <w:pPr>
        <w:pStyle w:val="NormalWeb"/>
        <w:spacing w:before="0" w:beforeAutospacing="0" w:after="0" w:afterAutospacing="0" w:line="276" w:lineRule="auto"/>
        <w:jc w:val="both"/>
        <w:rPr>
          <w:rFonts w:ascii="Arial" w:hAnsi="Arial" w:cs="Arial"/>
        </w:rPr>
      </w:pPr>
    </w:p>
    <w:p w14:paraId="20757FB5" w14:textId="77777777" w:rsidR="00F44042" w:rsidRPr="001F7344" w:rsidRDefault="00F44042" w:rsidP="00F44042">
      <w:pPr>
        <w:pStyle w:val="NormalWeb"/>
        <w:spacing w:before="0" w:beforeAutospacing="0" w:after="0" w:afterAutospacing="0" w:line="276" w:lineRule="auto"/>
        <w:jc w:val="both"/>
        <w:rPr>
          <w:rFonts w:ascii="Arial" w:hAnsi="Arial" w:cs="Arial"/>
        </w:rPr>
      </w:pPr>
      <w:r w:rsidRPr="001F7344">
        <w:rPr>
          <w:rFonts w:ascii="Arial" w:hAnsi="Arial" w:cs="Arial"/>
          <w:b/>
          <w:bCs/>
        </w:rPr>
        <w:t xml:space="preserve">2. </w:t>
      </w:r>
      <w:r w:rsidRPr="001F7344">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F44042" w:rsidRPr="001F7344" w14:paraId="55A1B7D7"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6B0FE05"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5F0DF9A7"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362F74D4" w14:textId="014BE003" w:rsidR="00F44042" w:rsidRPr="001F7344" w:rsidRDefault="00F44042" w:rsidP="006B2C3A">
            <w:pPr>
              <w:jc w:val="both"/>
              <w:rPr>
                <w:rFonts w:ascii="Arial" w:hAnsi="Arial" w:cs="Arial"/>
                <w:sz w:val="24"/>
                <w:szCs w:val="24"/>
              </w:rPr>
            </w:pPr>
            <w:r w:rsidRPr="001F7344">
              <w:rPr>
                <w:rFonts w:ascii="Arial" w:hAnsi="Arial" w:cs="Arial"/>
                <w:sz w:val="24"/>
                <w:szCs w:val="24"/>
                <w:lang w:val="es-ES_tradnl"/>
              </w:rPr>
              <w:t xml:space="preserve">Documentos que dan cuenta de los temas trata dados por el </w:t>
            </w:r>
            <w:r w:rsidR="00D83146">
              <w:rPr>
                <w:rFonts w:ascii="Arial" w:hAnsi="Arial" w:cs="Arial"/>
                <w:sz w:val="24"/>
                <w:szCs w:val="24"/>
                <w:lang w:val="es-ES_tradnl"/>
              </w:rPr>
              <w:t>comité de admisiones</w:t>
            </w:r>
            <w:r w:rsidR="006B2C3A">
              <w:rPr>
                <w:rFonts w:ascii="Arial" w:hAnsi="Arial" w:cs="Arial"/>
                <w:sz w:val="24"/>
                <w:szCs w:val="24"/>
                <w:lang w:val="es-ES_tradnl"/>
              </w:rPr>
              <w:t xml:space="preserve"> de la Universidad Nacional Abierta y a Distancia </w:t>
            </w:r>
            <w:r w:rsidR="006B2C3A" w:rsidRPr="00D83146">
              <w:rPr>
                <w:rFonts w:ascii="Arial" w:hAnsi="Arial" w:cs="Arial"/>
                <w:sz w:val="24"/>
                <w:szCs w:val="24"/>
              </w:rPr>
              <w:t>(UNAD).</w:t>
            </w:r>
          </w:p>
        </w:tc>
      </w:tr>
      <w:tr w:rsidR="00F44042" w:rsidRPr="001F7344" w14:paraId="214ED54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816903E"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54A86BE5"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C401412" w14:textId="319AC6E8" w:rsidR="00F44042" w:rsidRPr="001F7344" w:rsidRDefault="00C3661E" w:rsidP="00F9094C">
            <w:pPr>
              <w:rPr>
                <w:rFonts w:ascii="Arial" w:hAnsi="Arial" w:cs="Arial"/>
                <w:sz w:val="24"/>
                <w:szCs w:val="24"/>
              </w:rPr>
            </w:pPr>
            <w:r>
              <w:rPr>
                <w:rFonts w:ascii="Arial" w:hAnsi="Arial" w:cs="Arial"/>
                <w:sz w:val="24"/>
                <w:szCs w:val="24"/>
              </w:rPr>
              <w:t xml:space="preserve">Orden del día, Anexos, Actas </w:t>
            </w:r>
            <w:r w:rsidR="00F44042" w:rsidRPr="001F7344">
              <w:rPr>
                <w:rFonts w:ascii="Arial" w:hAnsi="Arial" w:cs="Arial"/>
                <w:sz w:val="24"/>
                <w:szCs w:val="24"/>
              </w:rPr>
              <w:t xml:space="preserve">   </w:t>
            </w:r>
          </w:p>
        </w:tc>
      </w:tr>
      <w:tr w:rsidR="00F44042" w:rsidRPr="001F7344" w14:paraId="0AFA23E1" w14:textId="77777777" w:rsidTr="00F9094C">
        <w:trPr>
          <w:trHeight w:val="309"/>
          <w:jc w:val="center"/>
        </w:trPr>
        <w:tc>
          <w:tcPr>
            <w:tcW w:w="351" w:type="pct"/>
            <w:shd w:val="clear" w:color="auto" w:fill="auto"/>
            <w:tcMar>
              <w:top w:w="15" w:type="dxa"/>
              <w:left w:w="56" w:type="dxa"/>
              <w:bottom w:w="0" w:type="dxa"/>
              <w:right w:w="56" w:type="dxa"/>
            </w:tcMar>
            <w:vAlign w:val="center"/>
          </w:tcPr>
          <w:p w14:paraId="6857C280"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2.3</w:t>
            </w:r>
          </w:p>
        </w:tc>
        <w:tc>
          <w:tcPr>
            <w:tcW w:w="1039" w:type="pct"/>
            <w:shd w:val="clear" w:color="auto" w:fill="auto"/>
            <w:tcMar>
              <w:top w:w="15" w:type="dxa"/>
              <w:left w:w="56" w:type="dxa"/>
              <w:bottom w:w="0" w:type="dxa"/>
              <w:right w:w="56" w:type="dxa"/>
            </w:tcMar>
            <w:vAlign w:val="center"/>
          </w:tcPr>
          <w:p w14:paraId="09CDA8EE"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1D672AD" w14:textId="11490338" w:rsidR="00F44042" w:rsidRPr="001F7344" w:rsidRDefault="00F44042" w:rsidP="00F9094C">
            <w:pPr>
              <w:rPr>
                <w:rFonts w:ascii="Arial" w:hAnsi="Arial" w:cs="Arial"/>
                <w:sz w:val="24"/>
                <w:szCs w:val="24"/>
              </w:rPr>
            </w:pPr>
            <w:r w:rsidRPr="001F7344">
              <w:rPr>
                <w:rFonts w:ascii="Arial" w:eastAsia="Arial" w:hAnsi="Arial" w:cs="Arial"/>
                <w:sz w:val="24"/>
                <w:szCs w:val="24"/>
              </w:rPr>
              <w:t>Papel-PDF</w:t>
            </w:r>
          </w:p>
        </w:tc>
      </w:tr>
      <w:tr w:rsidR="00F44042" w:rsidRPr="001F7344" w14:paraId="40BD024A" w14:textId="77777777" w:rsidTr="00F9094C">
        <w:trPr>
          <w:trHeight w:val="309"/>
          <w:jc w:val="center"/>
        </w:trPr>
        <w:tc>
          <w:tcPr>
            <w:tcW w:w="351" w:type="pct"/>
            <w:shd w:val="clear" w:color="auto" w:fill="auto"/>
            <w:tcMar>
              <w:top w:w="15" w:type="dxa"/>
              <w:left w:w="56" w:type="dxa"/>
              <w:bottom w:w="0" w:type="dxa"/>
              <w:right w:w="56" w:type="dxa"/>
            </w:tcMar>
            <w:vAlign w:val="center"/>
          </w:tcPr>
          <w:p w14:paraId="393F17BA"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2.4</w:t>
            </w:r>
          </w:p>
        </w:tc>
        <w:tc>
          <w:tcPr>
            <w:tcW w:w="1039" w:type="pct"/>
            <w:shd w:val="clear" w:color="auto" w:fill="auto"/>
            <w:tcMar>
              <w:top w:w="15" w:type="dxa"/>
              <w:left w:w="56" w:type="dxa"/>
              <w:bottom w:w="0" w:type="dxa"/>
              <w:right w:w="56" w:type="dxa"/>
            </w:tcMar>
            <w:vAlign w:val="center"/>
          </w:tcPr>
          <w:p w14:paraId="447DFBC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30301C5E" w14:textId="59B9EC00" w:rsidR="00F44042" w:rsidRPr="001F7344" w:rsidRDefault="00F44042" w:rsidP="00F9094C">
            <w:pPr>
              <w:jc w:val="both"/>
              <w:rPr>
                <w:rFonts w:ascii="Arial" w:hAnsi="Arial" w:cs="Arial"/>
                <w:sz w:val="24"/>
                <w:szCs w:val="24"/>
              </w:rPr>
            </w:pPr>
            <w:r w:rsidRPr="001F7344">
              <w:rPr>
                <w:rFonts w:ascii="Arial" w:eastAsia="Arial" w:hAnsi="Arial" w:cs="Arial"/>
                <w:sz w:val="24"/>
                <w:szCs w:val="24"/>
              </w:rPr>
              <w:t xml:space="preserve">Papel industrial tipo bond de 75g/m2. Según el Acuerdo 006 de 2014 sobre “Conservación de Documentos” que establece que </w:t>
            </w:r>
            <w:r w:rsidR="00B9171C" w:rsidRPr="001F7344">
              <w:rPr>
                <w:rFonts w:ascii="Arial" w:eastAsia="Arial" w:hAnsi="Arial" w:cs="Arial"/>
                <w:sz w:val="24"/>
                <w:szCs w:val="24"/>
              </w:rPr>
              <w:t>el documento desde su producción debe</w:t>
            </w:r>
            <w:r w:rsidRPr="001F7344">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F44042" w:rsidRPr="001F7344" w14:paraId="7695DBAF" w14:textId="77777777" w:rsidTr="00F9094C">
        <w:trPr>
          <w:trHeight w:val="258"/>
          <w:jc w:val="center"/>
        </w:trPr>
        <w:tc>
          <w:tcPr>
            <w:tcW w:w="351" w:type="pct"/>
            <w:vMerge w:val="restart"/>
            <w:shd w:val="clear" w:color="auto" w:fill="auto"/>
            <w:tcMar>
              <w:top w:w="15" w:type="dxa"/>
              <w:left w:w="56" w:type="dxa"/>
              <w:bottom w:w="0" w:type="dxa"/>
              <w:right w:w="56" w:type="dxa"/>
            </w:tcMar>
            <w:vAlign w:val="center"/>
          </w:tcPr>
          <w:p w14:paraId="2E0D96F1"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5A646F05"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A03F9FE"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Administrativo:</w:t>
            </w:r>
          </w:p>
        </w:tc>
        <w:tc>
          <w:tcPr>
            <w:tcW w:w="909" w:type="pct"/>
            <w:shd w:val="clear" w:color="auto" w:fill="auto"/>
            <w:vAlign w:val="center"/>
          </w:tcPr>
          <w:p w14:paraId="659A63AE"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Legal y/o Jurídico:</w:t>
            </w:r>
          </w:p>
        </w:tc>
        <w:tc>
          <w:tcPr>
            <w:tcW w:w="938" w:type="pct"/>
            <w:shd w:val="clear" w:color="auto" w:fill="auto"/>
            <w:vAlign w:val="center"/>
          </w:tcPr>
          <w:p w14:paraId="6EEF0551"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Contable:</w:t>
            </w:r>
          </w:p>
        </w:tc>
        <w:tc>
          <w:tcPr>
            <w:tcW w:w="853" w:type="pct"/>
            <w:shd w:val="clear" w:color="auto" w:fill="auto"/>
            <w:vAlign w:val="center"/>
          </w:tcPr>
          <w:p w14:paraId="62ABDEF9"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Fiscal:</w:t>
            </w:r>
          </w:p>
        </w:tc>
      </w:tr>
      <w:tr w:rsidR="00F44042" w:rsidRPr="001F7344" w14:paraId="4A3DC122" w14:textId="77777777" w:rsidTr="00F9094C">
        <w:trPr>
          <w:trHeight w:val="258"/>
          <w:jc w:val="center"/>
        </w:trPr>
        <w:tc>
          <w:tcPr>
            <w:tcW w:w="351" w:type="pct"/>
            <w:vMerge/>
            <w:shd w:val="clear" w:color="auto" w:fill="auto"/>
            <w:tcMar>
              <w:top w:w="15" w:type="dxa"/>
              <w:left w:w="56" w:type="dxa"/>
              <w:bottom w:w="0" w:type="dxa"/>
              <w:right w:w="56" w:type="dxa"/>
            </w:tcMar>
            <w:vAlign w:val="center"/>
          </w:tcPr>
          <w:p w14:paraId="6E19B19F" w14:textId="77777777" w:rsidR="00F44042" w:rsidRPr="001F7344" w:rsidRDefault="00F44042" w:rsidP="00F9094C">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6AC01413"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5CF0BB8" w14:textId="7D2C2E21" w:rsidR="00F44042" w:rsidRPr="00F6557D" w:rsidRDefault="00F44042" w:rsidP="00F6557D">
            <w:pPr>
              <w:rPr>
                <w:rFonts w:ascii="Arial" w:hAnsi="Arial" w:cs="Arial"/>
                <w:sz w:val="24"/>
                <w:szCs w:val="24"/>
              </w:rPr>
            </w:pPr>
            <w:r w:rsidRPr="00F6557D">
              <w:rPr>
                <w:rFonts w:ascii="Arial" w:hAnsi="Arial" w:cs="Arial"/>
                <w:sz w:val="24"/>
                <w:szCs w:val="24"/>
              </w:rPr>
              <w:t>La su</w:t>
            </w:r>
            <w:r w:rsidR="00F6557D">
              <w:rPr>
                <w:rFonts w:ascii="Arial" w:hAnsi="Arial" w:cs="Arial"/>
                <w:sz w:val="24"/>
                <w:szCs w:val="24"/>
              </w:rPr>
              <w:t xml:space="preserve">bserie Actas del Comité de admisiones </w:t>
            </w:r>
            <w:r w:rsidRPr="00F6557D">
              <w:rPr>
                <w:rFonts w:ascii="Arial" w:hAnsi="Arial" w:cs="Arial"/>
                <w:sz w:val="24"/>
                <w:szCs w:val="24"/>
              </w:rPr>
              <w:t xml:space="preserve"> tuvo valor administrativo ya qu</w:t>
            </w:r>
            <w:r w:rsidR="00F6557D">
              <w:rPr>
                <w:rFonts w:ascii="Arial" w:hAnsi="Arial" w:cs="Arial"/>
                <w:sz w:val="24"/>
                <w:szCs w:val="24"/>
              </w:rPr>
              <w:t xml:space="preserve">e daba a conocer la gestión adelantada por la unidad administrativa </w:t>
            </w:r>
            <w:r w:rsidR="00D0676E">
              <w:rPr>
                <w:rFonts w:ascii="Arial" w:hAnsi="Arial" w:cs="Arial"/>
                <w:sz w:val="24"/>
                <w:szCs w:val="24"/>
              </w:rPr>
              <w:t xml:space="preserve">en cumplimiento del </w:t>
            </w:r>
            <w:r w:rsidR="00D0676E">
              <w:rPr>
                <w:rFonts w:ascii="Arial" w:hAnsi="Arial" w:cs="Arial"/>
                <w:sz w:val="24"/>
                <w:szCs w:val="24"/>
              </w:rPr>
              <w:lastRenderedPageBreak/>
              <w:t xml:space="preserve">Decreto 3011 del 19 de diciembre de 1997 </w:t>
            </w:r>
            <w:r w:rsidR="00F76407">
              <w:rPr>
                <w:rFonts w:ascii="Arial" w:hAnsi="Arial" w:cs="Arial"/>
                <w:sz w:val="24"/>
                <w:szCs w:val="24"/>
              </w:rPr>
              <w:t>en cuanto al ofrecimiento de la educación de adultos y la educación abierta y a distancia como alternativa en la educación básica y media.</w:t>
            </w:r>
          </w:p>
        </w:tc>
        <w:tc>
          <w:tcPr>
            <w:tcW w:w="909" w:type="pct"/>
            <w:shd w:val="clear" w:color="auto" w:fill="auto"/>
            <w:vAlign w:val="center"/>
          </w:tcPr>
          <w:p w14:paraId="5301847C" w14:textId="50EE513F" w:rsidR="00F44042" w:rsidRPr="001F7344" w:rsidRDefault="00F44042" w:rsidP="00F9094C">
            <w:pPr>
              <w:rPr>
                <w:rFonts w:ascii="Arial" w:hAnsi="Arial" w:cs="Arial"/>
                <w:sz w:val="24"/>
                <w:szCs w:val="24"/>
              </w:rPr>
            </w:pPr>
            <w:r w:rsidRPr="00433E60">
              <w:rPr>
                <w:rFonts w:ascii="Arial" w:hAnsi="Arial" w:cs="Arial"/>
                <w:sz w:val="24"/>
                <w:szCs w:val="24"/>
              </w:rPr>
              <w:lastRenderedPageBreak/>
              <w:t>L</w:t>
            </w:r>
            <w:r w:rsidR="00174658" w:rsidRPr="00433E60">
              <w:rPr>
                <w:rFonts w:ascii="Arial" w:hAnsi="Arial" w:cs="Arial"/>
                <w:sz w:val="24"/>
                <w:szCs w:val="24"/>
              </w:rPr>
              <w:t xml:space="preserve">a subserie Actas del Comité de </w:t>
            </w:r>
            <w:r w:rsidR="00433E60" w:rsidRPr="00433E60">
              <w:rPr>
                <w:rFonts w:ascii="Arial" w:hAnsi="Arial" w:cs="Arial"/>
                <w:sz w:val="24"/>
                <w:szCs w:val="24"/>
              </w:rPr>
              <w:t>admoniciones tuvo</w:t>
            </w:r>
            <w:r w:rsidRPr="00433E60">
              <w:rPr>
                <w:rFonts w:ascii="Arial" w:hAnsi="Arial" w:cs="Arial"/>
                <w:sz w:val="24"/>
                <w:szCs w:val="24"/>
              </w:rPr>
              <w:t xml:space="preserve"> valor legal ya que permitía conocer el desempeño de los procesos y actividades que r</w:t>
            </w:r>
            <w:r w:rsidR="00174658" w:rsidRPr="00433E60">
              <w:rPr>
                <w:rFonts w:ascii="Arial" w:hAnsi="Arial" w:cs="Arial"/>
                <w:sz w:val="24"/>
                <w:szCs w:val="24"/>
              </w:rPr>
              <w:t xml:space="preserve">ealizaba la </w:t>
            </w:r>
            <w:r w:rsidR="00174658">
              <w:rPr>
                <w:rFonts w:ascii="Arial" w:hAnsi="Arial" w:cs="Arial"/>
                <w:sz w:val="24"/>
                <w:szCs w:val="24"/>
              </w:rPr>
              <w:t xml:space="preserve">Universidad Nacional Abierta y </w:t>
            </w:r>
            <w:r w:rsidR="00174658">
              <w:rPr>
                <w:rFonts w:ascii="Arial" w:hAnsi="Arial" w:cs="Arial"/>
                <w:sz w:val="24"/>
                <w:szCs w:val="24"/>
              </w:rPr>
              <w:lastRenderedPageBreak/>
              <w:t xml:space="preserve">a Distancia en cuanto al cumplimiento de </w:t>
            </w:r>
            <w:r w:rsidR="00433E60">
              <w:rPr>
                <w:rFonts w:ascii="Arial" w:hAnsi="Arial" w:cs="Arial"/>
                <w:sz w:val="24"/>
                <w:szCs w:val="24"/>
              </w:rPr>
              <w:t>las leyes</w:t>
            </w:r>
            <w:r w:rsidR="00174658">
              <w:rPr>
                <w:rFonts w:ascii="Arial" w:hAnsi="Arial" w:cs="Arial"/>
                <w:sz w:val="24"/>
                <w:szCs w:val="24"/>
              </w:rPr>
              <w:t xml:space="preserve"> de carácter nacional, la constitución Política de Colombia y demás normas regulatorias en materia de educación permanente y a distancia. </w:t>
            </w:r>
          </w:p>
        </w:tc>
        <w:tc>
          <w:tcPr>
            <w:tcW w:w="938" w:type="pct"/>
            <w:shd w:val="clear" w:color="auto" w:fill="auto"/>
            <w:vAlign w:val="center"/>
          </w:tcPr>
          <w:p w14:paraId="7C445F70" w14:textId="72875C0D" w:rsidR="00F44042" w:rsidRPr="001F7344" w:rsidRDefault="00F44042" w:rsidP="00F9094C">
            <w:pPr>
              <w:rPr>
                <w:rFonts w:ascii="Arial" w:hAnsi="Arial" w:cs="Arial"/>
                <w:sz w:val="24"/>
                <w:szCs w:val="24"/>
              </w:rPr>
            </w:pPr>
            <w:r w:rsidRPr="001F7344">
              <w:rPr>
                <w:rFonts w:ascii="Arial" w:hAnsi="Arial" w:cs="Arial"/>
                <w:sz w:val="24"/>
                <w:szCs w:val="24"/>
              </w:rPr>
              <w:lastRenderedPageBreak/>
              <w:t>La subserie Actas de Consejo Superior no tuvo valor contable ya que la información que contienen los documentos que la componen no refleja movimientos económicos y</w:t>
            </w:r>
            <w:r w:rsidR="00C3661E">
              <w:rPr>
                <w:rFonts w:ascii="Arial" w:hAnsi="Arial" w:cs="Arial"/>
                <w:sz w:val="24"/>
                <w:szCs w:val="24"/>
              </w:rPr>
              <w:t xml:space="preserve">/o financieros de la </w:t>
            </w:r>
            <w:r w:rsidR="00C3661E">
              <w:rPr>
                <w:rFonts w:ascii="Arial" w:hAnsi="Arial" w:cs="Arial"/>
                <w:sz w:val="24"/>
                <w:szCs w:val="24"/>
              </w:rPr>
              <w:lastRenderedPageBreak/>
              <w:t xml:space="preserve">entidad.  </w:t>
            </w:r>
          </w:p>
        </w:tc>
        <w:tc>
          <w:tcPr>
            <w:tcW w:w="853" w:type="pct"/>
            <w:shd w:val="clear" w:color="auto" w:fill="auto"/>
            <w:vAlign w:val="center"/>
          </w:tcPr>
          <w:p w14:paraId="660E3615" w14:textId="77777777" w:rsidR="00F44042" w:rsidRPr="001F7344" w:rsidRDefault="00F44042" w:rsidP="00F9094C">
            <w:pPr>
              <w:rPr>
                <w:rFonts w:ascii="Arial" w:hAnsi="Arial" w:cs="Arial"/>
                <w:sz w:val="24"/>
                <w:szCs w:val="24"/>
              </w:rPr>
            </w:pPr>
            <w:r w:rsidRPr="001F7344">
              <w:rPr>
                <w:rFonts w:ascii="Arial" w:hAnsi="Arial" w:cs="Arial"/>
                <w:sz w:val="24"/>
                <w:szCs w:val="24"/>
              </w:rPr>
              <w:lastRenderedPageBreak/>
              <w:t xml:space="preserve">La subserie Actas de Consejo Superior no tuvo valor fiscal por cuanto no registra documentos decisorios que comprometan el manejo presupuestal, de </w:t>
            </w:r>
            <w:r w:rsidRPr="001F7344">
              <w:rPr>
                <w:rFonts w:ascii="Arial" w:hAnsi="Arial" w:cs="Arial"/>
                <w:sz w:val="24"/>
                <w:szCs w:val="24"/>
              </w:rPr>
              <w:lastRenderedPageBreak/>
              <w:t>bienes o recursos públicos.</w:t>
            </w:r>
          </w:p>
        </w:tc>
      </w:tr>
      <w:tr w:rsidR="00F44042" w:rsidRPr="001F7344" w14:paraId="050D9950" w14:textId="77777777" w:rsidTr="00F9094C">
        <w:trPr>
          <w:trHeight w:val="258"/>
          <w:jc w:val="center"/>
        </w:trPr>
        <w:tc>
          <w:tcPr>
            <w:tcW w:w="351" w:type="pct"/>
            <w:shd w:val="clear" w:color="auto" w:fill="auto"/>
            <w:tcMar>
              <w:top w:w="15" w:type="dxa"/>
              <w:left w:w="56" w:type="dxa"/>
              <w:bottom w:w="0" w:type="dxa"/>
              <w:right w:w="56" w:type="dxa"/>
            </w:tcMar>
            <w:vAlign w:val="center"/>
          </w:tcPr>
          <w:p w14:paraId="3E2718B5"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CEBAC0B"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17B98305" w14:textId="77777777" w:rsidR="00F30280" w:rsidRDefault="00F30280" w:rsidP="00F30280">
            <w:pPr>
              <w:jc w:val="both"/>
              <w:rPr>
                <w:rFonts w:ascii="Arial" w:eastAsia="Arial" w:hAnsi="Arial" w:cs="Arial"/>
                <w:sz w:val="24"/>
                <w:szCs w:val="24"/>
              </w:rPr>
            </w:pPr>
            <w:r w:rsidRPr="00F30280">
              <w:rPr>
                <w:rFonts w:ascii="Arial" w:eastAsia="Arial" w:hAnsi="Arial" w:cs="Arial"/>
                <w:b/>
                <w:sz w:val="24"/>
                <w:szCs w:val="24"/>
              </w:rPr>
              <w:t>Decreto 1860 de agosto 3 de 1994</w:t>
            </w:r>
            <w:r w:rsidRPr="00F30280">
              <w:rPr>
                <w:rFonts w:ascii="Arial" w:eastAsia="Arial" w:hAnsi="Arial" w:cs="Arial"/>
                <w:sz w:val="24"/>
                <w:szCs w:val="24"/>
              </w:rPr>
              <w:t xml:space="preserve"> </w:t>
            </w:r>
            <w:r>
              <w:rPr>
                <w:rFonts w:ascii="Arial" w:eastAsia="Arial" w:hAnsi="Arial" w:cs="Arial"/>
                <w:sz w:val="24"/>
                <w:szCs w:val="24"/>
              </w:rPr>
              <w:t>“</w:t>
            </w:r>
            <w:r w:rsidRPr="00F30280">
              <w:rPr>
                <w:rFonts w:ascii="Arial" w:eastAsia="Arial" w:hAnsi="Arial" w:cs="Arial"/>
                <w:sz w:val="24"/>
                <w:szCs w:val="24"/>
              </w:rPr>
              <w:t>por el cual se reglamenta parcialmente la Ley 115 de 1994, en los aspectos pedagógicos y organizativos generales</w:t>
            </w:r>
            <w:r>
              <w:rPr>
                <w:rFonts w:ascii="Arial" w:eastAsia="Arial" w:hAnsi="Arial" w:cs="Arial"/>
                <w:sz w:val="24"/>
                <w:szCs w:val="24"/>
              </w:rPr>
              <w:t>”</w:t>
            </w:r>
            <w:r w:rsidRPr="00F30280">
              <w:rPr>
                <w:rFonts w:ascii="Arial" w:eastAsia="Arial" w:hAnsi="Arial" w:cs="Arial"/>
                <w:sz w:val="24"/>
                <w:szCs w:val="24"/>
              </w:rPr>
              <w:t>.</w:t>
            </w:r>
          </w:p>
          <w:p w14:paraId="39043E73" w14:textId="0AA99712" w:rsidR="00B9171C" w:rsidRDefault="00B9171C" w:rsidP="00F9094C">
            <w:pPr>
              <w:jc w:val="both"/>
              <w:rPr>
                <w:rFonts w:ascii="Arial" w:eastAsia="Arial" w:hAnsi="Arial" w:cs="Arial"/>
                <w:sz w:val="24"/>
                <w:szCs w:val="24"/>
              </w:rPr>
            </w:pPr>
            <w:r w:rsidRPr="00651579">
              <w:rPr>
                <w:rFonts w:ascii="Arial" w:eastAsia="Arial" w:hAnsi="Arial" w:cs="Arial"/>
                <w:b/>
                <w:sz w:val="24"/>
                <w:szCs w:val="24"/>
              </w:rPr>
              <w:t>NTC 4436, 22 de julio de 1998</w:t>
            </w:r>
            <w:r>
              <w:rPr>
                <w:rFonts w:ascii="Arial" w:eastAsia="Arial" w:hAnsi="Arial" w:cs="Arial"/>
                <w:sz w:val="24"/>
                <w:szCs w:val="24"/>
              </w:rPr>
              <w:t xml:space="preserve"> </w:t>
            </w:r>
            <w:r w:rsidRPr="001F7344">
              <w:rPr>
                <w:rFonts w:ascii="Arial" w:eastAsia="Arial" w:hAnsi="Arial" w:cs="Arial"/>
                <w:sz w:val="24"/>
                <w:szCs w:val="24"/>
              </w:rPr>
              <w:t>"Información y documentación. Papel para documentos de Archivo. Requisitos para la permanencia y durabilidad”.</w:t>
            </w:r>
          </w:p>
          <w:p w14:paraId="27153DF2" w14:textId="3ADA3219" w:rsidR="00651579" w:rsidRDefault="00651579" w:rsidP="00F9094C">
            <w:pPr>
              <w:jc w:val="both"/>
              <w:rPr>
                <w:rFonts w:ascii="Arial" w:eastAsia="Arial" w:hAnsi="Arial" w:cs="Arial"/>
                <w:sz w:val="24"/>
                <w:szCs w:val="24"/>
              </w:rPr>
            </w:pPr>
            <w:r w:rsidRPr="00651579">
              <w:rPr>
                <w:rFonts w:ascii="Arial" w:eastAsia="Arial" w:hAnsi="Arial" w:cs="Arial"/>
                <w:b/>
                <w:sz w:val="24"/>
                <w:szCs w:val="24"/>
              </w:rPr>
              <w:t>Acuerdo 024 del 28 de julio de 1999</w:t>
            </w:r>
            <w:r>
              <w:rPr>
                <w:rFonts w:ascii="Arial" w:eastAsia="Arial" w:hAnsi="Arial" w:cs="Arial"/>
                <w:sz w:val="24"/>
                <w:szCs w:val="24"/>
              </w:rPr>
              <w:t xml:space="preserve"> “Por el cual se aprueba el Programa de Bachillerato Diversificado a Distancia para adultos” </w:t>
            </w:r>
          </w:p>
          <w:p w14:paraId="5FC0CBE9" w14:textId="3FA1B7AF" w:rsidR="00651579" w:rsidRDefault="00651579" w:rsidP="00F9094C">
            <w:pPr>
              <w:jc w:val="both"/>
              <w:rPr>
                <w:rFonts w:ascii="Arial" w:eastAsia="Arial" w:hAnsi="Arial" w:cs="Arial"/>
                <w:sz w:val="24"/>
                <w:szCs w:val="24"/>
              </w:rPr>
            </w:pPr>
            <w:r w:rsidRPr="00F30280">
              <w:rPr>
                <w:rFonts w:ascii="Arial" w:eastAsia="Arial" w:hAnsi="Arial" w:cs="Arial"/>
                <w:b/>
                <w:sz w:val="24"/>
                <w:szCs w:val="24"/>
              </w:rPr>
              <w:t xml:space="preserve">Ley 115 de 1994 </w:t>
            </w:r>
            <w:r w:rsidRPr="00651579">
              <w:rPr>
                <w:rFonts w:ascii="Arial" w:eastAsia="Arial" w:hAnsi="Arial" w:cs="Arial"/>
                <w:sz w:val="24"/>
                <w:szCs w:val="24"/>
              </w:rPr>
              <w:t>“Por el cual se expide la Ley General de educación”</w:t>
            </w:r>
          </w:p>
          <w:p w14:paraId="2A4C3A2C" w14:textId="1BF8AD93" w:rsidR="00F30280" w:rsidRDefault="00F30280" w:rsidP="00F9094C">
            <w:pPr>
              <w:jc w:val="both"/>
              <w:rPr>
                <w:rFonts w:ascii="Arial" w:eastAsia="Arial" w:hAnsi="Arial" w:cs="Arial"/>
                <w:sz w:val="24"/>
                <w:szCs w:val="24"/>
              </w:rPr>
            </w:pPr>
            <w:r w:rsidRPr="00F30280">
              <w:rPr>
                <w:rFonts w:ascii="Arial" w:eastAsia="Arial" w:hAnsi="Arial" w:cs="Arial"/>
                <w:b/>
                <w:sz w:val="24"/>
                <w:szCs w:val="24"/>
              </w:rPr>
              <w:t>Decreto 3011 de diciembre 19 de 1997</w:t>
            </w:r>
            <w:r w:rsidRPr="00F30280">
              <w:rPr>
                <w:rFonts w:ascii="Arial" w:eastAsia="Arial" w:hAnsi="Arial" w:cs="Arial"/>
                <w:sz w:val="24"/>
                <w:szCs w:val="24"/>
              </w:rPr>
              <w:t xml:space="preserve"> </w:t>
            </w:r>
            <w:r>
              <w:rPr>
                <w:rFonts w:ascii="Arial" w:eastAsia="Arial" w:hAnsi="Arial" w:cs="Arial"/>
                <w:sz w:val="24"/>
                <w:szCs w:val="24"/>
              </w:rPr>
              <w:t>“</w:t>
            </w:r>
            <w:r w:rsidRPr="00F30280">
              <w:rPr>
                <w:rFonts w:ascii="Arial" w:eastAsia="Arial" w:hAnsi="Arial" w:cs="Arial"/>
                <w:sz w:val="24"/>
                <w:szCs w:val="24"/>
              </w:rPr>
              <w:t>por el cual se establecen normas para el ofrecimiento de la educación de adultos y se dictan otras disposiciones</w:t>
            </w:r>
            <w:r>
              <w:rPr>
                <w:rFonts w:ascii="Arial" w:eastAsia="Arial" w:hAnsi="Arial" w:cs="Arial"/>
                <w:sz w:val="24"/>
                <w:szCs w:val="24"/>
              </w:rPr>
              <w:t>”</w:t>
            </w:r>
            <w:r w:rsidRPr="00F30280">
              <w:rPr>
                <w:rFonts w:ascii="Arial" w:eastAsia="Arial" w:hAnsi="Arial" w:cs="Arial"/>
                <w:sz w:val="24"/>
                <w:szCs w:val="24"/>
              </w:rPr>
              <w:t>.</w:t>
            </w:r>
          </w:p>
          <w:p w14:paraId="2E278EEF" w14:textId="6A921AA7" w:rsidR="00F30280" w:rsidRPr="00651579" w:rsidRDefault="00F30280" w:rsidP="00F9094C">
            <w:pPr>
              <w:jc w:val="both"/>
              <w:rPr>
                <w:rFonts w:ascii="Arial" w:eastAsia="Arial" w:hAnsi="Arial" w:cs="Arial"/>
                <w:sz w:val="24"/>
                <w:szCs w:val="24"/>
              </w:rPr>
            </w:pPr>
            <w:r w:rsidRPr="00F30280">
              <w:rPr>
                <w:rFonts w:ascii="Arial" w:eastAsia="Arial" w:hAnsi="Arial" w:cs="Arial"/>
                <w:b/>
                <w:sz w:val="24"/>
                <w:szCs w:val="24"/>
              </w:rPr>
              <w:t>Decreto 1290 de 2009</w:t>
            </w:r>
            <w:r>
              <w:rPr>
                <w:rFonts w:ascii="Arial" w:eastAsia="Arial" w:hAnsi="Arial" w:cs="Arial"/>
                <w:sz w:val="24"/>
                <w:szCs w:val="24"/>
              </w:rPr>
              <w:t> “</w:t>
            </w:r>
            <w:r w:rsidRPr="00F30280">
              <w:rPr>
                <w:rFonts w:ascii="Arial" w:eastAsia="Arial" w:hAnsi="Arial" w:cs="Arial"/>
                <w:sz w:val="24"/>
                <w:szCs w:val="24"/>
              </w:rPr>
              <w:t>Por el cual se reglamenta la evaluación del aprendizaje y promoción de los estudiantes de los niveles de educación básica y media</w:t>
            </w:r>
            <w:r>
              <w:rPr>
                <w:rFonts w:ascii="Arial" w:eastAsia="Arial" w:hAnsi="Arial" w:cs="Arial"/>
                <w:sz w:val="24"/>
                <w:szCs w:val="24"/>
              </w:rPr>
              <w:t>”</w:t>
            </w:r>
            <w:r w:rsidRPr="00F30280">
              <w:rPr>
                <w:rFonts w:ascii="Arial" w:eastAsia="Arial" w:hAnsi="Arial" w:cs="Arial"/>
                <w:sz w:val="24"/>
                <w:szCs w:val="24"/>
              </w:rPr>
              <w:t>. </w:t>
            </w:r>
          </w:p>
          <w:p w14:paraId="78342F75" w14:textId="3A9E1A39" w:rsidR="00F44042" w:rsidRPr="001F7344" w:rsidRDefault="00F44042" w:rsidP="00F9094C">
            <w:pPr>
              <w:jc w:val="both"/>
              <w:rPr>
                <w:rFonts w:ascii="Arial" w:hAnsi="Arial" w:cs="Arial"/>
                <w:sz w:val="24"/>
                <w:szCs w:val="24"/>
              </w:rPr>
            </w:pPr>
          </w:p>
        </w:tc>
      </w:tr>
    </w:tbl>
    <w:p w14:paraId="75BF44A3" w14:textId="77777777" w:rsidR="00F44042" w:rsidRPr="001F7344" w:rsidRDefault="00F44042" w:rsidP="00F44042">
      <w:pPr>
        <w:pStyle w:val="NormalWeb"/>
        <w:spacing w:before="0" w:beforeAutospacing="0" w:after="0" w:afterAutospacing="0" w:line="276" w:lineRule="auto"/>
        <w:rPr>
          <w:rFonts w:ascii="Arial" w:hAnsi="Arial" w:cs="Arial"/>
          <w:b/>
          <w:bCs/>
        </w:rPr>
      </w:pPr>
    </w:p>
    <w:p w14:paraId="45B9125B" w14:textId="77777777" w:rsidR="00F44042" w:rsidRPr="001F7344" w:rsidRDefault="00F44042" w:rsidP="00F44042">
      <w:pPr>
        <w:pStyle w:val="NormalWeb"/>
        <w:spacing w:before="0" w:beforeAutospacing="0" w:after="0" w:afterAutospacing="0" w:line="276" w:lineRule="auto"/>
        <w:rPr>
          <w:rFonts w:ascii="Arial" w:hAnsi="Arial" w:cs="Arial"/>
          <w:b/>
          <w:bCs/>
        </w:rPr>
      </w:pPr>
    </w:p>
    <w:p w14:paraId="680211AF"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hAnsi="Arial" w:cs="Arial"/>
          <w:b/>
          <w:bCs/>
        </w:rPr>
        <w:t xml:space="preserve">3. </w:t>
      </w:r>
      <w:r w:rsidRPr="001F7344">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F44042" w:rsidRPr="001F7344" w14:paraId="12CAAB1A" w14:textId="77777777" w:rsidTr="00F9094C">
        <w:trPr>
          <w:trHeight w:val="309"/>
          <w:jc w:val="center"/>
        </w:trPr>
        <w:tc>
          <w:tcPr>
            <w:tcW w:w="326" w:type="pct"/>
            <w:vMerge w:val="restart"/>
            <w:shd w:val="clear" w:color="auto" w:fill="auto"/>
            <w:tcMar>
              <w:top w:w="15" w:type="dxa"/>
              <w:left w:w="56" w:type="dxa"/>
              <w:bottom w:w="0" w:type="dxa"/>
              <w:right w:w="56" w:type="dxa"/>
            </w:tcMar>
            <w:vAlign w:val="center"/>
            <w:hideMark/>
          </w:tcPr>
          <w:p w14:paraId="326D649B"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29B955B8"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61A2B4A"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Archivo de Gestión</w:t>
            </w:r>
          </w:p>
        </w:tc>
        <w:tc>
          <w:tcPr>
            <w:tcW w:w="1145" w:type="pct"/>
            <w:gridSpan w:val="4"/>
            <w:shd w:val="clear" w:color="auto" w:fill="auto"/>
            <w:vAlign w:val="center"/>
          </w:tcPr>
          <w:p w14:paraId="74FB9F9B"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Archivo Central</w:t>
            </w:r>
          </w:p>
        </w:tc>
        <w:tc>
          <w:tcPr>
            <w:tcW w:w="1130" w:type="pct"/>
            <w:gridSpan w:val="3"/>
            <w:shd w:val="clear" w:color="auto" w:fill="auto"/>
            <w:vAlign w:val="center"/>
          </w:tcPr>
          <w:p w14:paraId="7426E275"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Tiempo total</w:t>
            </w:r>
          </w:p>
        </w:tc>
      </w:tr>
      <w:tr w:rsidR="00F44042" w:rsidRPr="001F7344" w14:paraId="0B535021" w14:textId="77777777" w:rsidTr="00F9094C">
        <w:trPr>
          <w:trHeight w:val="309"/>
          <w:jc w:val="center"/>
        </w:trPr>
        <w:tc>
          <w:tcPr>
            <w:tcW w:w="326" w:type="pct"/>
            <w:vMerge/>
            <w:shd w:val="clear" w:color="auto" w:fill="auto"/>
            <w:tcMar>
              <w:top w:w="15" w:type="dxa"/>
              <w:left w:w="56" w:type="dxa"/>
              <w:bottom w:w="0" w:type="dxa"/>
              <w:right w:w="56" w:type="dxa"/>
            </w:tcMar>
            <w:vAlign w:val="center"/>
          </w:tcPr>
          <w:p w14:paraId="0412BD05"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5DEA219C"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7A1851BC"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3</w:t>
            </w:r>
          </w:p>
        </w:tc>
        <w:tc>
          <w:tcPr>
            <w:tcW w:w="1145" w:type="pct"/>
            <w:gridSpan w:val="4"/>
            <w:shd w:val="clear" w:color="auto" w:fill="auto"/>
            <w:vAlign w:val="center"/>
          </w:tcPr>
          <w:p w14:paraId="12048100" w14:textId="6D086DBE" w:rsidR="00F44042" w:rsidRPr="001F7344" w:rsidRDefault="00F44042" w:rsidP="00F9094C">
            <w:pPr>
              <w:jc w:val="center"/>
              <w:rPr>
                <w:rFonts w:ascii="Arial" w:hAnsi="Arial" w:cs="Arial"/>
                <w:sz w:val="24"/>
                <w:szCs w:val="24"/>
              </w:rPr>
            </w:pPr>
            <w:r w:rsidRPr="001F7344">
              <w:rPr>
                <w:rFonts w:ascii="Arial" w:hAnsi="Arial" w:cs="Arial"/>
                <w:sz w:val="24"/>
                <w:szCs w:val="24"/>
              </w:rPr>
              <w:t>7</w:t>
            </w:r>
          </w:p>
        </w:tc>
        <w:tc>
          <w:tcPr>
            <w:tcW w:w="1130" w:type="pct"/>
            <w:gridSpan w:val="3"/>
            <w:shd w:val="clear" w:color="auto" w:fill="auto"/>
            <w:vAlign w:val="center"/>
          </w:tcPr>
          <w:p w14:paraId="51D59F76" w14:textId="48838932" w:rsidR="00F44042" w:rsidRPr="001F7344" w:rsidRDefault="00D83146" w:rsidP="00F9094C">
            <w:pPr>
              <w:jc w:val="center"/>
              <w:rPr>
                <w:rFonts w:ascii="Arial" w:hAnsi="Arial" w:cs="Arial"/>
                <w:sz w:val="24"/>
                <w:szCs w:val="24"/>
              </w:rPr>
            </w:pPr>
            <w:r>
              <w:rPr>
                <w:rFonts w:ascii="Arial" w:hAnsi="Arial" w:cs="Arial"/>
                <w:sz w:val="24"/>
                <w:szCs w:val="24"/>
              </w:rPr>
              <w:t>1</w:t>
            </w:r>
            <w:r w:rsidR="00F44042" w:rsidRPr="001F7344">
              <w:rPr>
                <w:rFonts w:ascii="Arial" w:hAnsi="Arial" w:cs="Arial"/>
                <w:sz w:val="24"/>
                <w:szCs w:val="24"/>
              </w:rPr>
              <w:t>0</w:t>
            </w:r>
          </w:p>
        </w:tc>
      </w:tr>
      <w:tr w:rsidR="00F44042" w:rsidRPr="001F7344" w14:paraId="4552613B" w14:textId="77777777" w:rsidTr="00F9094C">
        <w:trPr>
          <w:trHeight w:val="309"/>
          <w:jc w:val="center"/>
        </w:trPr>
        <w:tc>
          <w:tcPr>
            <w:tcW w:w="326" w:type="pct"/>
            <w:shd w:val="clear" w:color="auto" w:fill="auto"/>
            <w:tcMar>
              <w:top w:w="15" w:type="dxa"/>
              <w:left w:w="56" w:type="dxa"/>
              <w:bottom w:w="0" w:type="dxa"/>
              <w:right w:w="56" w:type="dxa"/>
            </w:tcMar>
            <w:vAlign w:val="center"/>
            <w:hideMark/>
          </w:tcPr>
          <w:p w14:paraId="1635C8CC"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65068A"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46B89A19"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Conservación Total</w:t>
            </w:r>
          </w:p>
        </w:tc>
        <w:tc>
          <w:tcPr>
            <w:tcW w:w="426" w:type="pct"/>
            <w:shd w:val="clear" w:color="auto" w:fill="auto"/>
            <w:vAlign w:val="center"/>
          </w:tcPr>
          <w:p w14:paraId="32FC933D"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X</w:t>
            </w:r>
          </w:p>
        </w:tc>
        <w:tc>
          <w:tcPr>
            <w:tcW w:w="501" w:type="pct"/>
            <w:gridSpan w:val="2"/>
            <w:shd w:val="clear" w:color="auto" w:fill="auto"/>
            <w:vAlign w:val="center"/>
          </w:tcPr>
          <w:p w14:paraId="1EA9630E"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Eliminación</w:t>
            </w:r>
          </w:p>
        </w:tc>
        <w:tc>
          <w:tcPr>
            <w:tcW w:w="426" w:type="pct"/>
            <w:shd w:val="clear" w:color="auto" w:fill="auto"/>
            <w:vAlign w:val="center"/>
          </w:tcPr>
          <w:p w14:paraId="6349C608" w14:textId="77777777" w:rsidR="00F44042" w:rsidRPr="001F7344" w:rsidRDefault="00F44042" w:rsidP="00F9094C">
            <w:pPr>
              <w:jc w:val="center"/>
              <w:rPr>
                <w:rFonts w:ascii="Arial" w:hAnsi="Arial" w:cs="Arial"/>
                <w:sz w:val="24"/>
                <w:szCs w:val="24"/>
              </w:rPr>
            </w:pPr>
          </w:p>
        </w:tc>
        <w:tc>
          <w:tcPr>
            <w:tcW w:w="426" w:type="pct"/>
            <w:shd w:val="clear" w:color="auto" w:fill="auto"/>
            <w:vAlign w:val="center"/>
          </w:tcPr>
          <w:p w14:paraId="203F18B8"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Selección</w:t>
            </w:r>
          </w:p>
        </w:tc>
        <w:tc>
          <w:tcPr>
            <w:tcW w:w="402" w:type="pct"/>
            <w:gridSpan w:val="2"/>
            <w:shd w:val="clear" w:color="auto" w:fill="auto"/>
            <w:vAlign w:val="center"/>
          </w:tcPr>
          <w:p w14:paraId="2FA40F54" w14:textId="77777777" w:rsidR="00F44042" w:rsidRPr="001F7344" w:rsidRDefault="00F44042" w:rsidP="00F9094C">
            <w:pPr>
              <w:jc w:val="center"/>
              <w:rPr>
                <w:rFonts w:ascii="Arial" w:hAnsi="Arial" w:cs="Arial"/>
                <w:sz w:val="24"/>
                <w:szCs w:val="24"/>
              </w:rPr>
            </w:pPr>
          </w:p>
        </w:tc>
        <w:tc>
          <w:tcPr>
            <w:tcW w:w="426" w:type="pct"/>
            <w:shd w:val="clear" w:color="auto" w:fill="auto"/>
            <w:vAlign w:val="center"/>
          </w:tcPr>
          <w:p w14:paraId="43ECE41B" w14:textId="77777777" w:rsidR="00F44042" w:rsidRPr="001F7344" w:rsidRDefault="00F44042" w:rsidP="00F9094C">
            <w:pPr>
              <w:jc w:val="center"/>
              <w:rPr>
                <w:rFonts w:ascii="Arial" w:hAnsi="Arial" w:cs="Arial"/>
                <w:sz w:val="24"/>
                <w:szCs w:val="24"/>
              </w:rPr>
            </w:pPr>
            <w:r w:rsidRPr="001F7344">
              <w:rPr>
                <w:rFonts w:ascii="Arial" w:hAnsi="Arial" w:cs="Arial"/>
                <w:b/>
                <w:bCs/>
                <w:sz w:val="24"/>
                <w:szCs w:val="24"/>
              </w:rPr>
              <w:t>Digitalización</w:t>
            </w:r>
          </w:p>
        </w:tc>
        <w:tc>
          <w:tcPr>
            <w:tcW w:w="428" w:type="pct"/>
            <w:shd w:val="clear" w:color="auto" w:fill="auto"/>
            <w:vAlign w:val="center"/>
          </w:tcPr>
          <w:p w14:paraId="71F7AA6F" w14:textId="255ABEFE" w:rsidR="00F44042" w:rsidRPr="001F7344" w:rsidRDefault="006F51D1" w:rsidP="00F9094C">
            <w:pPr>
              <w:jc w:val="center"/>
              <w:rPr>
                <w:rFonts w:ascii="Arial" w:hAnsi="Arial" w:cs="Arial"/>
                <w:sz w:val="24"/>
                <w:szCs w:val="24"/>
              </w:rPr>
            </w:pPr>
            <w:r w:rsidRPr="001F7344">
              <w:rPr>
                <w:rFonts w:ascii="Arial" w:hAnsi="Arial" w:cs="Arial"/>
                <w:sz w:val="24"/>
                <w:szCs w:val="24"/>
              </w:rPr>
              <w:t>X</w:t>
            </w:r>
          </w:p>
        </w:tc>
      </w:tr>
      <w:tr w:rsidR="00F44042" w:rsidRPr="001F7344" w14:paraId="3B11FDE1" w14:textId="77777777" w:rsidTr="00F9094C">
        <w:trPr>
          <w:trHeight w:val="309"/>
          <w:jc w:val="center"/>
        </w:trPr>
        <w:tc>
          <w:tcPr>
            <w:tcW w:w="326" w:type="pct"/>
            <w:shd w:val="clear" w:color="auto" w:fill="auto"/>
            <w:tcMar>
              <w:top w:w="15" w:type="dxa"/>
              <w:left w:w="56" w:type="dxa"/>
              <w:bottom w:w="0" w:type="dxa"/>
              <w:right w:w="56" w:type="dxa"/>
            </w:tcMar>
            <w:vAlign w:val="center"/>
          </w:tcPr>
          <w:p w14:paraId="0468E67C"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75ED28D"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1BC04B35" w14:textId="01CF7362" w:rsidR="00F44042" w:rsidRPr="001F7344" w:rsidRDefault="0032181C" w:rsidP="00F9094C">
            <w:pPr>
              <w:jc w:val="both"/>
              <w:rPr>
                <w:rFonts w:ascii="Arial" w:hAnsi="Arial" w:cs="Arial"/>
                <w:sz w:val="24"/>
                <w:szCs w:val="24"/>
              </w:rPr>
            </w:pPr>
            <w:r w:rsidRPr="0032181C">
              <w:rPr>
                <w:rFonts w:ascii="Arial" w:hAnsi="Arial" w:cs="Arial"/>
                <w:sz w:val="24"/>
                <w:szCs w:val="24"/>
              </w:rPr>
              <w:t xml:space="preserve">Cumplido el tiempo de retención conservar totalmente ya que la documentación adquiere valores secundarios que dan a conocer los lineamentos a nivel nacional del programa de alfabetización, educación básica y media para jóvenes y adultos de acuerdo con lo dispuesto en el artículo 24 del Decreto 1860 de 1994 gobierno escolar. En concordancia con la resolución 008369 del 10 de julio de 2019 “por la cual se expide el manual de convivencia del programa de alfabetización, educación básica y media para jóvenes y adultos de la UNAD” artículo 69 “comité de Admisiones “. Con el fin de garantizar su conservación permanente se debe generar una copia de seguridad o respaldo de los documentos de valor histórico utilizando el proceso de Digitalización o microfilmación ver introducción numeral 5.6 literal a y </w:t>
            </w:r>
            <w:bookmarkStart w:id="0" w:name="_GoBack"/>
            <w:bookmarkEnd w:id="0"/>
            <w:r w:rsidR="0091018B" w:rsidRPr="0032181C">
              <w:rPr>
                <w:rFonts w:ascii="Arial" w:hAnsi="Arial" w:cs="Arial"/>
                <w:sz w:val="24"/>
                <w:szCs w:val="24"/>
              </w:rPr>
              <w:t>b; numeral</w:t>
            </w:r>
            <w:r w:rsidRPr="0032181C">
              <w:rPr>
                <w:rFonts w:ascii="Arial" w:hAnsi="Arial" w:cs="Arial"/>
                <w:sz w:val="24"/>
                <w:szCs w:val="24"/>
              </w:rPr>
              <w:t xml:space="preserve"> 5.6.1 literal a. Este proceso debe ser realizado por el encargado de la Oficina Educación Permanente con el acompañamiento del grupo de Gestión Documental y Función Notarial.</w:t>
            </w:r>
          </w:p>
        </w:tc>
      </w:tr>
    </w:tbl>
    <w:p w14:paraId="3C458179"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5184C58A"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D9B1D04"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F44042" w:rsidRPr="001F7344" w14:paraId="6DCD620C" w14:textId="77777777" w:rsidTr="00F9094C">
        <w:trPr>
          <w:trHeight w:val="309"/>
          <w:jc w:val="center"/>
        </w:trPr>
        <w:tc>
          <w:tcPr>
            <w:tcW w:w="351" w:type="pct"/>
            <w:shd w:val="clear" w:color="auto" w:fill="auto"/>
            <w:tcMar>
              <w:top w:w="15" w:type="dxa"/>
              <w:left w:w="56" w:type="dxa"/>
              <w:bottom w:w="0" w:type="dxa"/>
              <w:right w:w="56" w:type="dxa"/>
            </w:tcMar>
            <w:vAlign w:val="center"/>
          </w:tcPr>
          <w:p w14:paraId="72B51324"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27AC537A"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90B2B7E"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Si </w:t>
            </w:r>
          </w:p>
        </w:tc>
        <w:tc>
          <w:tcPr>
            <w:tcW w:w="864" w:type="pct"/>
            <w:gridSpan w:val="2"/>
            <w:shd w:val="clear" w:color="auto" w:fill="auto"/>
            <w:vAlign w:val="center"/>
          </w:tcPr>
          <w:p w14:paraId="5C902EC7" w14:textId="77777777" w:rsidR="00F44042" w:rsidRPr="001F7344" w:rsidRDefault="00F44042" w:rsidP="00F9094C">
            <w:pPr>
              <w:rPr>
                <w:rFonts w:ascii="Arial" w:hAnsi="Arial" w:cs="Arial"/>
                <w:sz w:val="24"/>
                <w:szCs w:val="24"/>
              </w:rPr>
            </w:pPr>
            <w:r w:rsidRPr="001F7344">
              <w:rPr>
                <w:rFonts w:ascii="Arial" w:hAnsi="Arial" w:cs="Arial"/>
                <w:sz w:val="24"/>
                <w:szCs w:val="24"/>
              </w:rPr>
              <w:t>X</w:t>
            </w:r>
          </w:p>
        </w:tc>
        <w:tc>
          <w:tcPr>
            <w:tcW w:w="854" w:type="pct"/>
            <w:gridSpan w:val="2"/>
            <w:shd w:val="clear" w:color="auto" w:fill="auto"/>
            <w:vAlign w:val="center"/>
          </w:tcPr>
          <w:p w14:paraId="225F765D"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No </w:t>
            </w:r>
          </w:p>
        </w:tc>
        <w:tc>
          <w:tcPr>
            <w:tcW w:w="853" w:type="pct"/>
            <w:shd w:val="clear" w:color="auto" w:fill="auto"/>
            <w:vAlign w:val="center"/>
          </w:tcPr>
          <w:p w14:paraId="434CA11B" w14:textId="77777777" w:rsidR="00F44042" w:rsidRPr="001F7344" w:rsidRDefault="00F44042" w:rsidP="00F9094C">
            <w:pPr>
              <w:rPr>
                <w:rFonts w:ascii="Arial" w:hAnsi="Arial" w:cs="Arial"/>
                <w:sz w:val="24"/>
                <w:szCs w:val="24"/>
              </w:rPr>
            </w:pPr>
          </w:p>
        </w:tc>
      </w:tr>
      <w:tr w:rsidR="00F44042" w:rsidRPr="001F7344" w14:paraId="6D3374AA" w14:textId="77777777" w:rsidTr="00F9094C">
        <w:trPr>
          <w:trHeight w:val="309"/>
          <w:jc w:val="center"/>
        </w:trPr>
        <w:tc>
          <w:tcPr>
            <w:tcW w:w="351" w:type="pct"/>
            <w:shd w:val="clear" w:color="auto" w:fill="auto"/>
            <w:tcMar>
              <w:top w:w="15" w:type="dxa"/>
              <w:left w:w="56" w:type="dxa"/>
              <w:bottom w:w="0" w:type="dxa"/>
              <w:right w:w="56" w:type="dxa"/>
            </w:tcMar>
            <w:vAlign w:val="center"/>
          </w:tcPr>
          <w:p w14:paraId="7B374D0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392403D"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6CB71709"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Si </w:t>
            </w:r>
          </w:p>
        </w:tc>
        <w:tc>
          <w:tcPr>
            <w:tcW w:w="324" w:type="pct"/>
            <w:shd w:val="clear" w:color="auto" w:fill="auto"/>
            <w:vAlign w:val="center"/>
          </w:tcPr>
          <w:p w14:paraId="46FB9AEC" w14:textId="77777777" w:rsidR="00F44042" w:rsidRPr="001F7344" w:rsidRDefault="00F44042" w:rsidP="00F9094C">
            <w:pPr>
              <w:rPr>
                <w:rFonts w:ascii="Arial" w:hAnsi="Arial" w:cs="Arial"/>
                <w:sz w:val="24"/>
                <w:szCs w:val="24"/>
              </w:rPr>
            </w:pPr>
          </w:p>
        </w:tc>
        <w:tc>
          <w:tcPr>
            <w:tcW w:w="325" w:type="pct"/>
            <w:shd w:val="clear" w:color="auto" w:fill="auto"/>
            <w:vAlign w:val="center"/>
          </w:tcPr>
          <w:p w14:paraId="3D7323E1"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No </w:t>
            </w:r>
          </w:p>
        </w:tc>
        <w:tc>
          <w:tcPr>
            <w:tcW w:w="390" w:type="pct"/>
            <w:shd w:val="clear" w:color="auto" w:fill="auto"/>
            <w:vAlign w:val="center"/>
          </w:tcPr>
          <w:p w14:paraId="053447E8" w14:textId="77777777" w:rsidR="00F44042" w:rsidRPr="001F7344" w:rsidRDefault="00F44042" w:rsidP="00F9094C">
            <w:pPr>
              <w:rPr>
                <w:rFonts w:ascii="Arial" w:hAnsi="Arial" w:cs="Arial"/>
                <w:b/>
                <w:bCs/>
                <w:sz w:val="24"/>
                <w:szCs w:val="24"/>
              </w:rPr>
            </w:pPr>
          </w:p>
        </w:tc>
        <w:tc>
          <w:tcPr>
            <w:tcW w:w="909" w:type="pct"/>
            <w:gridSpan w:val="2"/>
            <w:shd w:val="clear" w:color="auto" w:fill="auto"/>
            <w:vAlign w:val="center"/>
          </w:tcPr>
          <w:p w14:paraId="41B7489A" w14:textId="77777777" w:rsidR="00F44042" w:rsidRPr="001F7344" w:rsidRDefault="00F44042" w:rsidP="00F9094C">
            <w:pPr>
              <w:rPr>
                <w:rFonts w:ascii="Arial" w:hAnsi="Arial" w:cs="Arial"/>
                <w:sz w:val="24"/>
                <w:szCs w:val="24"/>
              </w:rPr>
            </w:pPr>
            <w:r w:rsidRPr="001F7344">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2F691410" w14:textId="77777777" w:rsidR="00F44042" w:rsidRPr="001F7344" w:rsidRDefault="00F44042" w:rsidP="00F9094C">
            <w:pPr>
              <w:rPr>
                <w:rFonts w:ascii="Arial" w:hAnsi="Arial" w:cs="Arial"/>
                <w:sz w:val="24"/>
                <w:szCs w:val="24"/>
              </w:rPr>
            </w:pPr>
          </w:p>
        </w:tc>
      </w:tr>
      <w:tr w:rsidR="00F44042" w:rsidRPr="001F7344" w14:paraId="209F8D2C" w14:textId="77777777" w:rsidTr="00F9094C">
        <w:trPr>
          <w:trHeight w:val="309"/>
          <w:jc w:val="center"/>
        </w:trPr>
        <w:tc>
          <w:tcPr>
            <w:tcW w:w="351" w:type="pct"/>
            <w:shd w:val="clear" w:color="auto" w:fill="auto"/>
            <w:tcMar>
              <w:top w:w="15" w:type="dxa"/>
              <w:left w:w="56" w:type="dxa"/>
              <w:bottom w:w="0" w:type="dxa"/>
              <w:right w:w="56" w:type="dxa"/>
            </w:tcMar>
            <w:vAlign w:val="center"/>
          </w:tcPr>
          <w:p w14:paraId="6A0F8934"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710F7C0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A155D0C" w14:textId="77777777" w:rsidR="00F44042" w:rsidRPr="001F7344" w:rsidRDefault="00F44042" w:rsidP="00F9094C">
            <w:pPr>
              <w:rPr>
                <w:rFonts w:ascii="Arial" w:hAnsi="Arial" w:cs="Arial"/>
                <w:sz w:val="24"/>
                <w:szCs w:val="24"/>
              </w:rPr>
            </w:pPr>
          </w:p>
        </w:tc>
      </w:tr>
    </w:tbl>
    <w:p w14:paraId="23F7958C"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C30D70D"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28B6FA98"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F44042" w:rsidRPr="001F7344" w14:paraId="45B44B3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0EB87037"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54B59D09"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6563ECE" w14:textId="77777777" w:rsidR="00F44042" w:rsidRPr="001F7344" w:rsidRDefault="00F44042" w:rsidP="00F9094C">
            <w:pPr>
              <w:rPr>
                <w:rFonts w:ascii="Arial" w:hAnsi="Arial" w:cs="Arial"/>
                <w:sz w:val="24"/>
                <w:szCs w:val="24"/>
              </w:rPr>
            </w:pPr>
            <w:r w:rsidRPr="001F7344">
              <w:rPr>
                <w:rFonts w:ascii="Arial" w:hAnsi="Arial" w:cs="Arial"/>
                <w:sz w:val="24"/>
                <w:szCs w:val="24"/>
              </w:rPr>
              <w:t xml:space="preserve">Oscar Mora Calderón </w:t>
            </w:r>
          </w:p>
        </w:tc>
      </w:tr>
      <w:tr w:rsidR="00F44042" w:rsidRPr="001F7344" w14:paraId="44BF938F"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0B54EEC"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36A18F73"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6F08EED7" w14:textId="77777777" w:rsidR="00F44042" w:rsidRPr="001F7344" w:rsidRDefault="00F44042" w:rsidP="00F9094C">
            <w:pPr>
              <w:rPr>
                <w:rFonts w:ascii="Arial" w:hAnsi="Arial" w:cs="Arial"/>
                <w:sz w:val="24"/>
                <w:szCs w:val="24"/>
              </w:rPr>
            </w:pPr>
            <w:r w:rsidRPr="001F7344">
              <w:rPr>
                <w:rFonts w:ascii="Arial" w:hAnsi="Arial" w:cs="Arial"/>
                <w:sz w:val="24"/>
                <w:szCs w:val="24"/>
              </w:rPr>
              <w:t>2/12/2020</w:t>
            </w:r>
          </w:p>
        </w:tc>
      </w:tr>
      <w:tr w:rsidR="00F44042" w:rsidRPr="001F7344" w14:paraId="019FAFDF" w14:textId="77777777" w:rsidTr="00F9094C">
        <w:trPr>
          <w:trHeight w:val="309"/>
          <w:jc w:val="center"/>
        </w:trPr>
        <w:tc>
          <w:tcPr>
            <w:tcW w:w="351" w:type="pct"/>
            <w:shd w:val="clear" w:color="auto" w:fill="auto"/>
            <w:tcMar>
              <w:top w:w="15" w:type="dxa"/>
              <w:left w:w="56" w:type="dxa"/>
              <w:bottom w:w="0" w:type="dxa"/>
              <w:right w:w="56" w:type="dxa"/>
            </w:tcMar>
            <w:vAlign w:val="center"/>
          </w:tcPr>
          <w:p w14:paraId="048CACB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3C9D0AE"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057568A" w14:textId="77777777" w:rsidR="00F44042" w:rsidRPr="001F7344" w:rsidRDefault="00F44042" w:rsidP="00F9094C">
            <w:pPr>
              <w:rPr>
                <w:rFonts w:ascii="Arial" w:hAnsi="Arial" w:cs="Arial"/>
                <w:sz w:val="24"/>
                <w:szCs w:val="24"/>
              </w:rPr>
            </w:pPr>
          </w:p>
        </w:tc>
      </w:tr>
    </w:tbl>
    <w:p w14:paraId="662AB947"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450BE897" w14:textId="7933234B" w:rsidR="00D83146" w:rsidRDefault="00D83146" w:rsidP="00F44042">
      <w:pPr>
        <w:rPr>
          <w:rFonts w:ascii="Arial" w:eastAsia="Arial" w:hAnsi="Arial" w:cs="Arial"/>
          <w:sz w:val="24"/>
          <w:szCs w:val="24"/>
        </w:rPr>
      </w:pPr>
    </w:p>
    <w:p w14:paraId="2BB8A565" w14:textId="77777777" w:rsidR="00D83146" w:rsidRPr="00D83146" w:rsidRDefault="00D83146" w:rsidP="00D83146">
      <w:pPr>
        <w:rPr>
          <w:rFonts w:ascii="Arial" w:eastAsia="Arial" w:hAnsi="Arial" w:cs="Arial"/>
          <w:sz w:val="24"/>
          <w:szCs w:val="24"/>
        </w:rPr>
      </w:pPr>
    </w:p>
    <w:p w14:paraId="5ACF1F7A" w14:textId="77777777" w:rsidR="00D83146" w:rsidRPr="00D83146" w:rsidRDefault="00D83146" w:rsidP="00D83146">
      <w:pPr>
        <w:rPr>
          <w:rFonts w:ascii="Arial" w:eastAsia="Arial" w:hAnsi="Arial" w:cs="Arial"/>
          <w:sz w:val="24"/>
          <w:szCs w:val="24"/>
        </w:rPr>
      </w:pPr>
    </w:p>
    <w:p w14:paraId="39DDF62C" w14:textId="56F7690E" w:rsidR="00D83146" w:rsidRDefault="00D83146" w:rsidP="00D83146">
      <w:pPr>
        <w:rPr>
          <w:rFonts w:ascii="Arial" w:eastAsia="Arial" w:hAnsi="Arial" w:cs="Arial"/>
          <w:sz w:val="24"/>
          <w:szCs w:val="24"/>
        </w:rPr>
      </w:pPr>
    </w:p>
    <w:p w14:paraId="6C8620D7" w14:textId="70A6C161" w:rsidR="008133ED" w:rsidRPr="00D83146" w:rsidRDefault="00D83146" w:rsidP="00D83146">
      <w:pPr>
        <w:tabs>
          <w:tab w:val="left" w:pos="6836"/>
        </w:tabs>
        <w:rPr>
          <w:rFonts w:ascii="Arial" w:eastAsia="Arial" w:hAnsi="Arial" w:cs="Arial"/>
          <w:sz w:val="24"/>
          <w:szCs w:val="24"/>
        </w:rPr>
      </w:pPr>
      <w:r>
        <w:rPr>
          <w:rFonts w:ascii="Arial" w:eastAsia="Arial" w:hAnsi="Arial" w:cs="Arial"/>
          <w:sz w:val="24"/>
          <w:szCs w:val="24"/>
        </w:rPr>
        <w:tab/>
      </w:r>
    </w:p>
    <w:sectPr w:rsidR="008133ED" w:rsidRPr="00D83146"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6DC6B" w14:textId="77777777" w:rsidR="002A2B0D" w:rsidRDefault="002A2B0D">
      <w:r>
        <w:separator/>
      </w:r>
    </w:p>
  </w:endnote>
  <w:endnote w:type="continuationSeparator" w:id="0">
    <w:p w14:paraId="4B8B6E83" w14:textId="77777777" w:rsidR="002A2B0D" w:rsidRDefault="002A2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51E17" w14:textId="77777777" w:rsidR="002A2B0D" w:rsidRDefault="002A2B0D">
      <w:r>
        <w:separator/>
      </w:r>
    </w:p>
  </w:footnote>
  <w:footnote w:type="continuationSeparator" w:id="0">
    <w:p w14:paraId="26CFAA85" w14:textId="77777777" w:rsidR="002A2B0D" w:rsidRDefault="002A2B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91018B"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D780C9E"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91018B" w:rsidRPr="0091018B">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91018B" w:rsidRPr="0091018B">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107188"/>
    <w:rsid w:val="00125D36"/>
    <w:rsid w:val="00127E44"/>
    <w:rsid w:val="00131BB9"/>
    <w:rsid w:val="00134DB7"/>
    <w:rsid w:val="00143EB0"/>
    <w:rsid w:val="00153610"/>
    <w:rsid w:val="00165585"/>
    <w:rsid w:val="00171786"/>
    <w:rsid w:val="00174658"/>
    <w:rsid w:val="00174FAE"/>
    <w:rsid w:val="001B44A3"/>
    <w:rsid w:val="001C58BE"/>
    <w:rsid w:val="001C68ED"/>
    <w:rsid w:val="001E7EA9"/>
    <w:rsid w:val="001F4AAF"/>
    <w:rsid w:val="001F5641"/>
    <w:rsid w:val="001F7344"/>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3902"/>
    <w:rsid w:val="00287E12"/>
    <w:rsid w:val="002A2B0D"/>
    <w:rsid w:val="002A5405"/>
    <w:rsid w:val="002C21B6"/>
    <w:rsid w:val="002D7EBF"/>
    <w:rsid w:val="002F14DF"/>
    <w:rsid w:val="002F7BBD"/>
    <w:rsid w:val="00317481"/>
    <w:rsid w:val="0032181C"/>
    <w:rsid w:val="00324742"/>
    <w:rsid w:val="003304EE"/>
    <w:rsid w:val="00341799"/>
    <w:rsid w:val="00343FDE"/>
    <w:rsid w:val="00347BDC"/>
    <w:rsid w:val="00365D16"/>
    <w:rsid w:val="00372EC1"/>
    <w:rsid w:val="00376CEB"/>
    <w:rsid w:val="00381D79"/>
    <w:rsid w:val="003926A0"/>
    <w:rsid w:val="003A7597"/>
    <w:rsid w:val="003B00D1"/>
    <w:rsid w:val="003B565E"/>
    <w:rsid w:val="003B6A9A"/>
    <w:rsid w:val="003D2322"/>
    <w:rsid w:val="003E1F06"/>
    <w:rsid w:val="003E247F"/>
    <w:rsid w:val="003E759C"/>
    <w:rsid w:val="003F0E67"/>
    <w:rsid w:val="003F6424"/>
    <w:rsid w:val="0040005C"/>
    <w:rsid w:val="00405651"/>
    <w:rsid w:val="00406E4D"/>
    <w:rsid w:val="00407397"/>
    <w:rsid w:val="0040793D"/>
    <w:rsid w:val="00417E0E"/>
    <w:rsid w:val="004235E3"/>
    <w:rsid w:val="00426817"/>
    <w:rsid w:val="00426C06"/>
    <w:rsid w:val="00433E60"/>
    <w:rsid w:val="00437990"/>
    <w:rsid w:val="004532C5"/>
    <w:rsid w:val="004563A5"/>
    <w:rsid w:val="00461430"/>
    <w:rsid w:val="0047349E"/>
    <w:rsid w:val="00474C6A"/>
    <w:rsid w:val="00475B76"/>
    <w:rsid w:val="004872F5"/>
    <w:rsid w:val="0049201A"/>
    <w:rsid w:val="004A25B1"/>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1579"/>
    <w:rsid w:val="00652390"/>
    <w:rsid w:val="006609A5"/>
    <w:rsid w:val="00662B67"/>
    <w:rsid w:val="00672D07"/>
    <w:rsid w:val="006757E9"/>
    <w:rsid w:val="006802A5"/>
    <w:rsid w:val="00682219"/>
    <w:rsid w:val="00690022"/>
    <w:rsid w:val="006B2C3A"/>
    <w:rsid w:val="006B3E8D"/>
    <w:rsid w:val="006B6801"/>
    <w:rsid w:val="006C275D"/>
    <w:rsid w:val="006C641B"/>
    <w:rsid w:val="006D7375"/>
    <w:rsid w:val="006E1A97"/>
    <w:rsid w:val="006E52EC"/>
    <w:rsid w:val="006E59DD"/>
    <w:rsid w:val="006F0B31"/>
    <w:rsid w:val="006F3093"/>
    <w:rsid w:val="006F4A9C"/>
    <w:rsid w:val="006F51D1"/>
    <w:rsid w:val="00703413"/>
    <w:rsid w:val="0070622D"/>
    <w:rsid w:val="00710455"/>
    <w:rsid w:val="0072205E"/>
    <w:rsid w:val="00726D1D"/>
    <w:rsid w:val="00757AB8"/>
    <w:rsid w:val="00774AB9"/>
    <w:rsid w:val="00774D1D"/>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018B"/>
    <w:rsid w:val="00913D51"/>
    <w:rsid w:val="00917D98"/>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2466"/>
    <w:rsid w:val="00A4070F"/>
    <w:rsid w:val="00A603D1"/>
    <w:rsid w:val="00A74B54"/>
    <w:rsid w:val="00A81DED"/>
    <w:rsid w:val="00A85318"/>
    <w:rsid w:val="00A91461"/>
    <w:rsid w:val="00A926A1"/>
    <w:rsid w:val="00A926FB"/>
    <w:rsid w:val="00A93C10"/>
    <w:rsid w:val="00AA6BC5"/>
    <w:rsid w:val="00AB087A"/>
    <w:rsid w:val="00AB4951"/>
    <w:rsid w:val="00AB7DD1"/>
    <w:rsid w:val="00AD18CA"/>
    <w:rsid w:val="00AD5539"/>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9171C"/>
    <w:rsid w:val="00BD260B"/>
    <w:rsid w:val="00BD4F90"/>
    <w:rsid w:val="00BE0504"/>
    <w:rsid w:val="00C05C6E"/>
    <w:rsid w:val="00C06883"/>
    <w:rsid w:val="00C13A46"/>
    <w:rsid w:val="00C238F3"/>
    <w:rsid w:val="00C2776A"/>
    <w:rsid w:val="00C35D85"/>
    <w:rsid w:val="00C3661E"/>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0676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0391"/>
    <w:rsid w:val="00D83146"/>
    <w:rsid w:val="00D86401"/>
    <w:rsid w:val="00D87E1D"/>
    <w:rsid w:val="00D94E64"/>
    <w:rsid w:val="00DB197B"/>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6EA"/>
    <w:rsid w:val="00F14A9D"/>
    <w:rsid w:val="00F1611B"/>
    <w:rsid w:val="00F25E20"/>
    <w:rsid w:val="00F30280"/>
    <w:rsid w:val="00F367FC"/>
    <w:rsid w:val="00F37D0C"/>
    <w:rsid w:val="00F414C8"/>
    <w:rsid w:val="00F44042"/>
    <w:rsid w:val="00F53282"/>
    <w:rsid w:val="00F563A3"/>
    <w:rsid w:val="00F5796B"/>
    <w:rsid w:val="00F6557D"/>
    <w:rsid w:val="00F7047A"/>
    <w:rsid w:val="00F76407"/>
    <w:rsid w:val="00F92A5C"/>
    <w:rsid w:val="00F93A03"/>
    <w:rsid w:val="00F94C05"/>
    <w:rsid w:val="00FA451F"/>
    <w:rsid w:val="00FB0C7A"/>
    <w:rsid w:val="00FB157C"/>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681476F"/>
  <w15:docId w15:val="{626CFED9-2F8D-4288-9552-7AA4869E3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EF072-2FB9-42EB-84BD-D3101931D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802</Words>
  <Characters>4576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21</cp:revision>
  <cp:lastPrinted>2013-08-23T16:35:00Z</cp:lastPrinted>
  <dcterms:created xsi:type="dcterms:W3CDTF">2020-12-04T13:06:00Z</dcterms:created>
  <dcterms:modified xsi:type="dcterms:W3CDTF">2020-12-10T02:52:00Z</dcterms:modified>
</cp:coreProperties>
</file>