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A75622" w:rsidRDefault="003B1773" w:rsidP="003B1773">
      <w:pPr>
        <w:jc w:val="both"/>
        <w:rPr>
          <w:rFonts w:ascii="Arial" w:hAnsi="Arial" w:cs="Arial"/>
          <w:sz w:val="24"/>
          <w:szCs w:val="24"/>
        </w:rPr>
      </w:pPr>
    </w:p>
    <w:p w14:paraId="0B029E15"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1.</w:t>
      </w:r>
      <w:r w:rsidRPr="00A75622">
        <w:rPr>
          <w:rFonts w:ascii="Arial" w:hAnsi="Arial" w:cs="Arial"/>
        </w:rPr>
        <w:t xml:space="preserve"> </w:t>
      </w:r>
      <w:r w:rsidRPr="00A75622">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A75622"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56FCB2B8" w:rsidR="003B1773" w:rsidRPr="00A75622" w:rsidRDefault="00A75622" w:rsidP="00A75622">
            <w:pPr>
              <w:jc w:val="both"/>
              <w:rPr>
                <w:rFonts w:ascii="Arial" w:hAnsi="Arial" w:cs="Arial"/>
                <w:sz w:val="24"/>
                <w:szCs w:val="24"/>
              </w:rPr>
            </w:pPr>
            <w:r w:rsidRPr="00A75622">
              <w:rPr>
                <w:rFonts w:ascii="Arial" w:hAnsi="Arial" w:cs="Arial"/>
                <w:sz w:val="24"/>
                <w:szCs w:val="24"/>
              </w:rPr>
              <w:t>PROYECTOS</w:t>
            </w:r>
            <w:r w:rsidR="0038549D" w:rsidRPr="00A75622">
              <w:rPr>
                <w:rFonts w:ascii="Arial" w:hAnsi="Arial" w:cs="Arial"/>
                <w:sz w:val="24"/>
                <w:szCs w:val="24"/>
              </w:rPr>
              <w:t xml:space="preserve"> </w:t>
            </w:r>
            <w:r w:rsidR="00B914D5" w:rsidRPr="00A75622">
              <w:rPr>
                <w:rFonts w:ascii="Arial" w:hAnsi="Arial" w:cs="Arial"/>
                <w:sz w:val="24"/>
                <w:szCs w:val="24"/>
              </w:rPr>
              <w:t>/</w:t>
            </w:r>
            <w:r w:rsidR="0038549D" w:rsidRPr="00A75622">
              <w:rPr>
                <w:rFonts w:ascii="Arial" w:hAnsi="Arial" w:cs="Arial"/>
                <w:sz w:val="24"/>
                <w:szCs w:val="24"/>
              </w:rPr>
              <w:t xml:space="preserve"> </w:t>
            </w:r>
            <w:r w:rsidR="00297ADD" w:rsidRPr="00297ADD">
              <w:rPr>
                <w:rFonts w:ascii="Arial" w:hAnsi="Arial" w:cs="Arial"/>
                <w:sz w:val="24"/>
                <w:szCs w:val="24"/>
              </w:rPr>
              <w:t>Proyecto Educativo de Escuela</w:t>
            </w:r>
          </w:p>
        </w:tc>
      </w:tr>
      <w:tr w:rsidR="003B1773" w:rsidRPr="00A75622"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8CD6188" w:rsidR="003B1773" w:rsidRPr="00A75622" w:rsidRDefault="00297ADD" w:rsidP="00BB531C">
            <w:pPr>
              <w:jc w:val="both"/>
              <w:rPr>
                <w:rFonts w:ascii="Arial" w:hAnsi="Arial" w:cs="Arial"/>
                <w:sz w:val="24"/>
                <w:szCs w:val="24"/>
              </w:rPr>
            </w:pPr>
            <w:r w:rsidRPr="00297ADD">
              <w:rPr>
                <w:rFonts w:ascii="Arial" w:hAnsi="Arial" w:cs="Arial"/>
                <w:sz w:val="24"/>
                <w:szCs w:val="24"/>
              </w:rPr>
              <w:t>Los documentos de esta subserie dan a conocer el contenido fundamentos, estrategias, políticas, programas y proyectos que posibilitaran el desarrollo de la misión y el logro de la visión, planteadas por la escuela. Lo anterior en concordancia el Acuerdo 039 del 3 de diciembre de 2019 “Por el cual se modifica el Estatuto Organizacional de la Universidad Nacional Abierta y a Distancia (UNAD) Artículo 72. Funciones de las Escuelas. Literal e) Cumplir con los procesos y procedimientos derivados de SII UNAD, a fin de lograr que todas las acciones y decisiones, bajo su responsabilidad, queden inmersas y a la vista de todos aquellos usuarios y beneficiarios, internos y externos.”</w:t>
            </w:r>
          </w:p>
        </w:tc>
      </w:tr>
      <w:tr w:rsidR="003B1773" w:rsidRPr="00A75622"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0CF1861C" w14:textId="77777777" w:rsidR="00E03A8F" w:rsidRDefault="00297ADD" w:rsidP="003B1773">
            <w:pPr>
              <w:jc w:val="both"/>
              <w:rPr>
                <w:rFonts w:ascii="Arial" w:hAnsi="Arial" w:cs="Arial"/>
                <w:sz w:val="24"/>
                <w:szCs w:val="24"/>
              </w:rPr>
            </w:pPr>
            <w:r w:rsidRPr="00297ADD">
              <w:rPr>
                <w:rFonts w:ascii="Arial" w:hAnsi="Arial" w:cs="Arial"/>
                <w:sz w:val="24"/>
                <w:szCs w:val="24"/>
              </w:rPr>
              <w:t>ESCUELA DE CIENCIAS BÁSICAS, TECNOLÓGIA E INGENIERIA</w:t>
            </w:r>
            <w:r>
              <w:rPr>
                <w:rFonts w:ascii="Arial" w:hAnsi="Arial" w:cs="Arial"/>
                <w:sz w:val="24"/>
                <w:szCs w:val="24"/>
              </w:rPr>
              <w:t xml:space="preserve"> 102.2</w:t>
            </w:r>
          </w:p>
          <w:p w14:paraId="28B29107" w14:textId="23493162" w:rsidR="00297ADD" w:rsidRDefault="00297ADD" w:rsidP="003B1773">
            <w:pPr>
              <w:jc w:val="both"/>
              <w:rPr>
                <w:rFonts w:ascii="Arial" w:hAnsi="Arial" w:cs="Arial"/>
                <w:sz w:val="24"/>
                <w:szCs w:val="24"/>
              </w:rPr>
            </w:pPr>
            <w:r w:rsidRPr="00297ADD">
              <w:rPr>
                <w:rFonts w:ascii="Arial" w:hAnsi="Arial" w:cs="Arial"/>
                <w:sz w:val="24"/>
                <w:szCs w:val="24"/>
              </w:rPr>
              <w:t>ESCUELA DE CIENCIAS AGRARIAS, PECUARIAS Y DEL MEDIO AMBIENTE</w:t>
            </w:r>
            <w:r>
              <w:rPr>
                <w:rFonts w:ascii="Arial" w:hAnsi="Arial" w:cs="Arial"/>
                <w:sz w:val="24"/>
                <w:szCs w:val="24"/>
              </w:rPr>
              <w:t xml:space="preserve"> 102.3</w:t>
            </w:r>
          </w:p>
          <w:p w14:paraId="49F847D4" w14:textId="00F64B14" w:rsidR="00297ADD" w:rsidRDefault="00297ADD" w:rsidP="003B1773">
            <w:pPr>
              <w:jc w:val="both"/>
              <w:rPr>
                <w:rFonts w:ascii="Arial" w:hAnsi="Arial" w:cs="Arial"/>
                <w:sz w:val="24"/>
                <w:szCs w:val="24"/>
              </w:rPr>
            </w:pPr>
            <w:r w:rsidRPr="00297ADD">
              <w:rPr>
                <w:rFonts w:ascii="Arial" w:hAnsi="Arial" w:cs="Arial"/>
                <w:sz w:val="24"/>
                <w:szCs w:val="24"/>
              </w:rPr>
              <w:t>ESCUELA DE CIENCIAS ADMINISTRATIVAS, CONTABLES, ECONOMICAS Y DE NEGOCIOS</w:t>
            </w:r>
            <w:r>
              <w:rPr>
                <w:rFonts w:ascii="Arial" w:hAnsi="Arial" w:cs="Arial"/>
                <w:sz w:val="24"/>
                <w:szCs w:val="24"/>
              </w:rPr>
              <w:t xml:space="preserve"> 102.4</w:t>
            </w:r>
          </w:p>
          <w:p w14:paraId="03AAE0BD" w14:textId="049D219D" w:rsidR="00297ADD" w:rsidRDefault="00297ADD" w:rsidP="003B1773">
            <w:pPr>
              <w:jc w:val="both"/>
              <w:rPr>
                <w:rFonts w:ascii="Arial" w:hAnsi="Arial" w:cs="Arial"/>
                <w:sz w:val="24"/>
                <w:szCs w:val="24"/>
              </w:rPr>
            </w:pPr>
            <w:r w:rsidRPr="00297ADD">
              <w:rPr>
                <w:rFonts w:ascii="Arial" w:hAnsi="Arial" w:cs="Arial"/>
                <w:sz w:val="24"/>
                <w:szCs w:val="24"/>
              </w:rPr>
              <w:t>ESCUELA DE CIENCIAS SOCIALES, ARTES Y HUMANIDADES</w:t>
            </w:r>
            <w:r>
              <w:rPr>
                <w:rFonts w:ascii="Arial" w:hAnsi="Arial" w:cs="Arial"/>
                <w:sz w:val="24"/>
                <w:szCs w:val="24"/>
              </w:rPr>
              <w:t xml:space="preserve"> 102.5</w:t>
            </w:r>
          </w:p>
          <w:p w14:paraId="1B1F4959" w14:textId="3AB3EBDA" w:rsidR="00297ADD" w:rsidRDefault="00297ADD" w:rsidP="003B1773">
            <w:pPr>
              <w:jc w:val="both"/>
              <w:rPr>
                <w:rFonts w:ascii="Arial" w:hAnsi="Arial" w:cs="Arial"/>
                <w:sz w:val="24"/>
                <w:szCs w:val="24"/>
              </w:rPr>
            </w:pPr>
            <w:r w:rsidRPr="00297ADD">
              <w:rPr>
                <w:rFonts w:ascii="Arial" w:hAnsi="Arial" w:cs="Arial"/>
                <w:sz w:val="24"/>
                <w:szCs w:val="24"/>
              </w:rPr>
              <w:t>ESCUELA DE CIENCIAS DE LA EDUCACION</w:t>
            </w:r>
            <w:r>
              <w:rPr>
                <w:rFonts w:ascii="Arial" w:hAnsi="Arial" w:cs="Arial"/>
                <w:sz w:val="24"/>
                <w:szCs w:val="24"/>
              </w:rPr>
              <w:t xml:space="preserve"> 102.6</w:t>
            </w:r>
          </w:p>
          <w:p w14:paraId="236BD9B2" w14:textId="0EED73AB" w:rsidR="00297ADD" w:rsidRDefault="00297ADD" w:rsidP="003B1773">
            <w:pPr>
              <w:jc w:val="both"/>
              <w:rPr>
                <w:rFonts w:ascii="Arial" w:hAnsi="Arial" w:cs="Arial"/>
                <w:sz w:val="24"/>
                <w:szCs w:val="24"/>
              </w:rPr>
            </w:pPr>
            <w:r w:rsidRPr="00297ADD">
              <w:rPr>
                <w:rFonts w:ascii="Arial" w:hAnsi="Arial" w:cs="Arial"/>
                <w:sz w:val="24"/>
                <w:szCs w:val="24"/>
              </w:rPr>
              <w:t>ESCUELA DE CIENCIAS DE LA SALUD</w:t>
            </w:r>
            <w:r>
              <w:rPr>
                <w:rFonts w:ascii="Arial" w:hAnsi="Arial" w:cs="Arial"/>
                <w:sz w:val="24"/>
                <w:szCs w:val="24"/>
              </w:rPr>
              <w:t xml:space="preserve"> 102.7</w:t>
            </w:r>
          </w:p>
          <w:p w14:paraId="5581CA96" w14:textId="467B301A" w:rsidR="00297ADD" w:rsidRPr="00A75622" w:rsidRDefault="00297ADD" w:rsidP="003B1773">
            <w:pPr>
              <w:jc w:val="both"/>
              <w:rPr>
                <w:rFonts w:ascii="Arial" w:hAnsi="Arial" w:cs="Arial"/>
                <w:sz w:val="24"/>
                <w:szCs w:val="24"/>
              </w:rPr>
            </w:pPr>
            <w:r w:rsidRPr="00297ADD">
              <w:rPr>
                <w:rFonts w:ascii="Arial" w:hAnsi="Arial" w:cs="Arial"/>
                <w:sz w:val="24"/>
                <w:szCs w:val="24"/>
              </w:rPr>
              <w:t>ESCUELA DE CIENCIAS JURÍDICAS Y POLÍTICAS</w:t>
            </w:r>
            <w:r>
              <w:rPr>
                <w:rFonts w:ascii="Arial" w:hAnsi="Arial" w:cs="Arial"/>
                <w:sz w:val="24"/>
                <w:szCs w:val="24"/>
              </w:rPr>
              <w:t xml:space="preserve"> 102.8</w:t>
            </w:r>
          </w:p>
        </w:tc>
      </w:tr>
      <w:tr w:rsidR="003B1773" w:rsidRPr="00A75622"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B8B50C9"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Desde: </w:t>
            </w:r>
          </w:p>
        </w:tc>
        <w:tc>
          <w:tcPr>
            <w:tcW w:w="854" w:type="pct"/>
            <w:shd w:val="clear" w:color="auto" w:fill="auto"/>
            <w:vAlign w:val="center"/>
          </w:tcPr>
          <w:p w14:paraId="1CFABB83" w14:textId="77777777" w:rsidR="003B1773" w:rsidRPr="00A75622"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Hasta:</w:t>
            </w:r>
          </w:p>
        </w:tc>
        <w:tc>
          <w:tcPr>
            <w:tcW w:w="853" w:type="pct"/>
            <w:shd w:val="clear" w:color="auto" w:fill="auto"/>
            <w:vAlign w:val="center"/>
          </w:tcPr>
          <w:p w14:paraId="26661A2F" w14:textId="77777777" w:rsidR="003B1773" w:rsidRPr="00A75622" w:rsidRDefault="003B1773" w:rsidP="003B1773">
            <w:pPr>
              <w:jc w:val="both"/>
              <w:rPr>
                <w:rFonts w:ascii="Arial" w:hAnsi="Arial" w:cs="Arial"/>
                <w:sz w:val="24"/>
                <w:szCs w:val="24"/>
              </w:rPr>
            </w:pPr>
          </w:p>
        </w:tc>
      </w:tr>
    </w:tbl>
    <w:p w14:paraId="5700AC1A" w14:textId="77777777" w:rsidR="003B1773" w:rsidRPr="00A75622"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hAnsi="Arial" w:cs="Arial"/>
          <w:b/>
          <w:bCs/>
        </w:rPr>
        <w:t xml:space="preserve">2. </w:t>
      </w:r>
      <w:r w:rsidRPr="00A75622">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05"/>
        <w:gridCol w:w="2207"/>
        <w:gridCol w:w="2287"/>
        <w:gridCol w:w="1924"/>
        <w:gridCol w:w="1987"/>
        <w:gridCol w:w="1802"/>
      </w:tblGrid>
      <w:tr w:rsidR="003B1773" w:rsidRPr="00A75622"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749A4057" w:rsidR="003B1773" w:rsidRPr="00D61136" w:rsidRDefault="006F73B9" w:rsidP="006F73B9">
            <w:pPr>
              <w:autoSpaceDE w:val="0"/>
              <w:autoSpaceDN w:val="0"/>
              <w:adjustRightInd w:val="0"/>
              <w:jc w:val="both"/>
              <w:rPr>
                <w:rFonts w:ascii="Arial" w:hAnsi="Arial" w:cs="Arial"/>
                <w:sz w:val="24"/>
                <w:szCs w:val="24"/>
                <w:lang w:val="es-CO" w:eastAsia="es-CO"/>
              </w:rPr>
            </w:pPr>
            <w:r w:rsidRPr="006F73B9">
              <w:rPr>
                <w:rFonts w:ascii="Arial" w:hAnsi="Arial" w:cs="Arial"/>
                <w:sz w:val="24"/>
                <w:szCs w:val="24"/>
                <w:lang w:val="es-CO" w:eastAsia="es-CO"/>
              </w:rPr>
              <w:t xml:space="preserve">Los documentos de esta subserie </w:t>
            </w:r>
            <w:r w:rsidR="00297ADD" w:rsidRPr="00297ADD">
              <w:rPr>
                <w:rFonts w:ascii="Arial" w:hAnsi="Arial" w:cs="Arial"/>
                <w:sz w:val="24"/>
                <w:szCs w:val="24"/>
              </w:rPr>
              <w:t>dan a conocer el contenido fundamentos, estrategias, políticas, programas y proyectos que posibilitaran el desarrollo de la misión y el logro de la visión, planteadas por la escuela.</w:t>
            </w:r>
          </w:p>
        </w:tc>
      </w:tr>
      <w:tr w:rsidR="003B1773" w:rsidRPr="00A75622"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5849CDB5" w14:textId="5B29DEFA" w:rsidR="00142965" w:rsidRPr="00A75622" w:rsidRDefault="006F73B9" w:rsidP="00297ADD">
            <w:pPr>
              <w:jc w:val="both"/>
              <w:rPr>
                <w:rFonts w:ascii="Arial" w:hAnsi="Arial" w:cs="Arial"/>
                <w:sz w:val="24"/>
                <w:szCs w:val="24"/>
              </w:rPr>
            </w:pPr>
            <w:r w:rsidRPr="006F73B9">
              <w:rPr>
                <w:rFonts w:ascii="Arial" w:hAnsi="Arial" w:cs="Arial"/>
                <w:sz w:val="24"/>
                <w:szCs w:val="24"/>
              </w:rPr>
              <w:t xml:space="preserve">Proyecto </w:t>
            </w:r>
          </w:p>
        </w:tc>
      </w:tr>
      <w:tr w:rsidR="003B1773" w:rsidRPr="00A75622"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Papel-PDF</w:t>
            </w:r>
          </w:p>
        </w:tc>
      </w:tr>
      <w:tr w:rsidR="003B1773" w:rsidRPr="00A75622"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3DB5A85D"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 xml:space="preserve">Papel industrial tipo bond de 75g/m2. Según el Acuerdo 006 de 2014 sobre “Conservación de Documentos” que establece que </w:t>
            </w:r>
            <w:bookmarkStart w:id="0" w:name="_GoBack"/>
            <w:bookmarkEnd w:id="0"/>
            <w:r w:rsidR="00674FE6" w:rsidRPr="00A75622">
              <w:rPr>
                <w:rFonts w:ascii="Arial" w:eastAsia="Arial" w:hAnsi="Arial" w:cs="Arial"/>
                <w:sz w:val="24"/>
                <w:szCs w:val="24"/>
              </w:rPr>
              <w:t>el documento desde su producción debe</w:t>
            </w:r>
            <w:r w:rsidRPr="00A75622">
              <w:rPr>
                <w:rFonts w:ascii="Arial" w:eastAsia="Arial" w:hAnsi="Arial" w:cs="Arial"/>
                <w:sz w:val="24"/>
                <w:szCs w:val="24"/>
              </w:rPr>
              <w:t xml:space="preserv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A75622"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Administrativo:</w:t>
            </w:r>
          </w:p>
        </w:tc>
        <w:tc>
          <w:tcPr>
            <w:tcW w:w="909" w:type="pct"/>
            <w:shd w:val="clear" w:color="auto" w:fill="auto"/>
            <w:vAlign w:val="center"/>
          </w:tcPr>
          <w:p w14:paraId="6478EF64"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Legal y/o Jurídico:</w:t>
            </w:r>
          </w:p>
        </w:tc>
        <w:tc>
          <w:tcPr>
            <w:tcW w:w="938" w:type="pct"/>
            <w:shd w:val="clear" w:color="auto" w:fill="auto"/>
            <w:vAlign w:val="center"/>
          </w:tcPr>
          <w:p w14:paraId="0E84B289"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Contable:</w:t>
            </w:r>
          </w:p>
        </w:tc>
        <w:tc>
          <w:tcPr>
            <w:tcW w:w="853" w:type="pct"/>
            <w:shd w:val="clear" w:color="auto" w:fill="auto"/>
            <w:vAlign w:val="center"/>
          </w:tcPr>
          <w:p w14:paraId="13C1F821"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Fiscal:</w:t>
            </w:r>
          </w:p>
        </w:tc>
      </w:tr>
      <w:tr w:rsidR="003B1773" w:rsidRPr="00A75622"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21161F64" w:rsidR="003B1773" w:rsidRPr="00A75622" w:rsidRDefault="00940C06" w:rsidP="003B1773">
            <w:pPr>
              <w:jc w:val="both"/>
              <w:rPr>
                <w:rFonts w:ascii="Arial" w:hAnsi="Arial" w:cs="Arial"/>
                <w:sz w:val="24"/>
                <w:szCs w:val="24"/>
              </w:rPr>
            </w:pPr>
            <w:r w:rsidRPr="00852365">
              <w:rPr>
                <w:rFonts w:ascii="Arial" w:hAnsi="Arial" w:cs="Arial"/>
                <w:sz w:val="24"/>
                <w:szCs w:val="24"/>
              </w:rPr>
              <w:t xml:space="preserve">La </w:t>
            </w:r>
            <w:r w:rsidR="00D7209E" w:rsidRPr="00852365">
              <w:rPr>
                <w:rFonts w:ascii="Arial" w:hAnsi="Arial" w:cs="Arial"/>
                <w:sz w:val="24"/>
                <w:szCs w:val="24"/>
              </w:rPr>
              <w:t>sub</w:t>
            </w:r>
            <w:r w:rsidR="003B1773" w:rsidRPr="00852365">
              <w:rPr>
                <w:rFonts w:ascii="Arial" w:hAnsi="Arial" w:cs="Arial"/>
                <w:sz w:val="24"/>
                <w:szCs w:val="24"/>
              </w:rPr>
              <w:t xml:space="preserve">serie </w:t>
            </w:r>
            <w:r w:rsidR="00297ADD" w:rsidRPr="00852365">
              <w:rPr>
                <w:rFonts w:ascii="Arial" w:hAnsi="Arial" w:cs="Arial"/>
                <w:sz w:val="24"/>
                <w:szCs w:val="24"/>
              </w:rPr>
              <w:t>Proyecto Educativo de Escuela</w:t>
            </w:r>
            <w:r w:rsidR="000311CA" w:rsidRPr="00852365">
              <w:rPr>
                <w:rFonts w:ascii="Arial" w:hAnsi="Arial" w:cs="Arial"/>
                <w:sz w:val="24"/>
                <w:szCs w:val="24"/>
              </w:rPr>
              <w:t xml:space="preserve"> </w:t>
            </w:r>
            <w:r w:rsidR="003B1773" w:rsidRPr="00852365">
              <w:rPr>
                <w:rFonts w:ascii="Arial" w:hAnsi="Arial" w:cs="Arial"/>
                <w:sz w:val="24"/>
                <w:szCs w:val="24"/>
              </w:rPr>
              <w:t>tuvo valor administr</w:t>
            </w:r>
            <w:r w:rsidR="00EE765E" w:rsidRPr="00852365">
              <w:rPr>
                <w:rFonts w:ascii="Arial" w:hAnsi="Arial" w:cs="Arial"/>
                <w:sz w:val="24"/>
                <w:szCs w:val="24"/>
              </w:rPr>
              <w:t xml:space="preserve">ativo </w:t>
            </w:r>
            <w:r w:rsidR="00EE765E" w:rsidRPr="00852365">
              <w:rPr>
                <w:rFonts w:ascii="Arial" w:hAnsi="Arial" w:cs="Arial"/>
                <w:sz w:val="24"/>
                <w:szCs w:val="24"/>
              </w:rPr>
              <w:lastRenderedPageBreak/>
              <w:t>ya que daba a conocer los lineamientos para la actuación,</w:t>
            </w:r>
            <w:r w:rsidR="00EE765E" w:rsidRPr="00EE765E">
              <w:rPr>
                <w:rFonts w:ascii="Arial" w:hAnsi="Arial" w:cs="Arial"/>
                <w:sz w:val="24"/>
                <w:szCs w:val="24"/>
              </w:rPr>
              <w:t xml:space="preserve"> desarrollo</w:t>
            </w:r>
            <w:r w:rsidR="00EE765E">
              <w:rPr>
                <w:rFonts w:ascii="Arial" w:hAnsi="Arial" w:cs="Arial"/>
                <w:sz w:val="24"/>
                <w:szCs w:val="24"/>
              </w:rPr>
              <w:t xml:space="preserve"> y sostenibilidad de cada Escuela</w:t>
            </w:r>
            <w:r w:rsidR="00852365">
              <w:rPr>
                <w:rFonts w:ascii="Arial" w:hAnsi="Arial" w:cs="Arial"/>
                <w:sz w:val="24"/>
                <w:szCs w:val="24"/>
              </w:rPr>
              <w:t xml:space="preserve"> </w:t>
            </w:r>
            <w:r w:rsidR="00EE765E" w:rsidRPr="00EE765E">
              <w:rPr>
                <w:rFonts w:ascii="Arial" w:hAnsi="Arial" w:cs="Arial"/>
                <w:sz w:val="24"/>
                <w:szCs w:val="24"/>
              </w:rPr>
              <w:t>en el ejercicio de sus responsabilidades formativas, investigativas, proyección social, inclusión social, innovación e internacionalización, como contribución al cumplimiento de la misión institucional, en consonancia con las intencionalidade</w:t>
            </w:r>
            <w:r w:rsidR="00852365">
              <w:rPr>
                <w:rFonts w:ascii="Arial" w:hAnsi="Arial" w:cs="Arial"/>
                <w:sz w:val="24"/>
                <w:szCs w:val="24"/>
              </w:rPr>
              <w:t>s axiológicas de la institución</w:t>
            </w:r>
            <w:r w:rsidR="00EE765E" w:rsidRPr="00EE765E">
              <w:rPr>
                <w:rFonts w:ascii="Arial" w:hAnsi="Arial" w:cs="Arial"/>
                <w:sz w:val="24"/>
                <w:szCs w:val="24"/>
              </w:rPr>
              <w:t>, contenidas en el Estatuto General, el Estatuto Organizacional, las orientaciones definidas por su Proyecto Académico Pedagógico Solidario y las políticas fijadas por el sistema de alta política.</w:t>
            </w:r>
          </w:p>
        </w:tc>
        <w:tc>
          <w:tcPr>
            <w:tcW w:w="909" w:type="pct"/>
            <w:shd w:val="clear" w:color="auto" w:fill="auto"/>
            <w:vAlign w:val="center"/>
          </w:tcPr>
          <w:p w14:paraId="20B350C1" w14:textId="376D1CCD" w:rsidR="003B1773" w:rsidRPr="00A75622" w:rsidRDefault="003B1773" w:rsidP="00852365">
            <w:pPr>
              <w:jc w:val="both"/>
              <w:rPr>
                <w:rFonts w:ascii="Arial" w:hAnsi="Arial" w:cs="Arial"/>
                <w:sz w:val="24"/>
                <w:szCs w:val="24"/>
              </w:rPr>
            </w:pPr>
            <w:r w:rsidRPr="00381666">
              <w:rPr>
                <w:rFonts w:ascii="Arial" w:hAnsi="Arial" w:cs="Arial"/>
                <w:sz w:val="24"/>
                <w:szCs w:val="24"/>
              </w:rPr>
              <w:lastRenderedPageBreak/>
              <w:t xml:space="preserve">La </w:t>
            </w:r>
            <w:r w:rsidR="00D7209E" w:rsidRPr="00381666">
              <w:rPr>
                <w:rFonts w:ascii="Arial" w:hAnsi="Arial" w:cs="Arial"/>
                <w:sz w:val="24"/>
                <w:szCs w:val="24"/>
              </w:rPr>
              <w:t>sub</w:t>
            </w:r>
            <w:r w:rsidRPr="00381666">
              <w:rPr>
                <w:rFonts w:ascii="Arial" w:hAnsi="Arial" w:cs="Arial"/>
                <w:sz w:val="24"/>
                <w:szCs w:val="24"/>
              </w:rPr>
              <w:t xml:space="preserve">serie </w:t>
            </w:r>
            <w:r w:rsidR="00297ADD" w:rsidRPr="00381666">
              <w:rPr>
                <w:rFonts w:ascii="Arial" w:hAnsi="Arial" w:cs="Arial"/>
                <w:sz w:val="24"/>
                <w:szCs w:val="24"/>
              </w:rPr>
              <w:t>Proyecto Educativo de Escuela</w:t>
            </w:r>
            <w:r w:rsidR="000311CA" w:rsidRPr="00381666">
              <w:rPr>
                <w:rFonts w:ascii="Arial" w:hAnsi="Arial" w:cs="Arial"/>
                <w:sz w:val="24"/>
                <w:szCs w:val="24"/>
              </w:rPr>
              <w:t xml:space="preserve"> </w:t>
            </w:r>
            <w:r w:rsidRPr="00381666">
              <w:rPr>
                <w:rFonts w:ascii="Arial" w:hAnsi="Arial" w:cs="Arial"/>
                <w:sz w:val="24"/>
                <w:szCs w:val="24"/>
              </w:rPr>
              <w:t xml:space="preserve">tuvo </w:t>
            </w:r>
            <w:r w:rsidRPr="00381666">
              <w:rPr>
                <w:rFonts w:ascii="Arial" w:hAnsi="Arial" w:cs="Arial"/>
                <w:sz w:val="24"/>
                <w:szCs w:val="24"/>
              </w:rPr>
              <w:lastRenderedPageBreak/>
              <w:t>valor legal ya que permitía conocer el desempeño de los procesos</w:t>
            </w:r>
            <w:r w:rsidR="00852365" w:rsidRPr="00381666">
              <w:rPr>
                <w:rFonts w:ascii="Arial" w:hAnsi="Arial" w:cs="Arial"/>
                <w:sz w:val="24"/>
                <w:szCs w:val="24"/>
              </w:rPr>
              <w:t xml:space="preserve"> y actividades que realizaba la Universidad Nacional Abierta </w:t>
            </w:r>
            <w:r w:rsidR="00381666">
              <w:rPr>
                <w:rFonts w:ascii="Arial" w:hAnsi="Arial" w:cs="Arial"/>
                <w:sz w:val="24"/>
                <w:szCs w:val="24"/>
              </w:rPr>
              <w:t xml:space="preserve">y </w:t>
            </w:r>
            <w:r w:rsidR="00852365" w:rsidRPr="00381666">
              <w:rPr>
                <w:rFonts w:ascii="Arial" w:hAnsi="Arial" w:cs="Arial"/>
                <w:sz w:val="24"/>
                <w:szCs w:val="24"/>
              </w:rPr>
              <w:t xml:space="preserve">a Distancia UNAD </w:t>
            </w:r>
            <w:r w:rsidR="00381666" w:rsidRPr="00381666">
              <w:rPr>
                <w:rFonts w:ascii="Arial" w:hAnsi="Arial" w:cs="Arial"/>
                <w:sz w:val="24"/>
                <w:szCs w:val="24"/>
              </w:rPr>
              <w:t>en</w:t>
            </w:r>
            <w:r w:rsidR="00381666">
              <w:rPr>
                <w:rFonts w:ascii="Arial" w:hAnsi="Arial" w:cs="Arial"/>
                <w:sz w:val="24"/>
                <w:szCs w:val="24"/>
              </w:rPr>
              <w:t xml:space="preserve"> el cumplimiento de la misión institucional, dentro del marco de </w:t>
            </w:r>
            <w:r w:rsidR="00381666" w:rsidRPr="00381666">
              <w:rPr>
                <w:rFonts w:ascii="Arial" w:hAnsi="Arial" w:cs="Arial"/>
                <w:sz w:val="24"/>
                <w:szCs w:val="24"/>
              </w:rPr>
              <w:t>una sociedad democrática y de un Estado social de derecho</w:t>
            </w:r>
            <w:r w:rsidR="00381666">
              <w:rPr>
                <w:rFonts w:ascii="Arial" w:hAnsi="Arial" w:cs="Arial"/>
                <w:sz w:val="24"/>
                <w:szCs w:val="24"/>
              </w:rPr>
              <w:t>.</w:t>
            </w:r>
          </w:p>
        </w:tc>
        <w:tc>
          <w:tcPr>
            <w:tcW w:w="938" w:type="pct"/>
            <w:shd w:val="clear" w:color="auto" w:fill="auto"/>
            <w:vAlign w:val="center"/>
          </w:tcPr>
          <w:p w14:paraId="1A2DC279" w14:textId="1E049DE9" w:rsidR="003B1773" w:rsidRPr="00A75622" w:rsidRDefault="003B1773" w:rsidP="00940C06">
            <w:pPr>
              <w:jc w:val="both"/>
              <w:rPr>
                <w:rFonts w:ascii="Arial" w:hAnsi="Arial" w:cs="Arial"/>
                <w:sz w:val="24"/>
                <w:szCs w:val="24"/>
              </w:rPr>
            </w:pPr>
            <w:r w:rsidRPr="00A75622">
              <w:rPr>
                <w:rFonts w:ascii="Arial" w:hAnsi="Arial" w:cs="Arial"/>
                <w:sz w:val="24"/>
                <w:szCs w:val="24"/>
              </w:rPr>
              <w:lastRenderedPageBreak/>
              <w:t xml:space="preserve">La </w:t>
            </w:r>
            <w:r w:rsidR="00D7209E" w:rsidRPr="00A75622">
              <w:rPr>
                <w:rFonts w:ascii="Arial" w:hAnsi="Arial" w:cs="Arial"/>
                <w:sz w:val="24"/>
                <w:szCs w:val="24"/>
              </w:rPr>
              <w:t>sub</w:t>
            </w:r>
            <w:r w:rsidRPr="00A75622">
              <w:rPr>
                <w:rFonts w:ascii="Arial" w:hAnsi="Arial" w:cs="Arial"/>
                <w:sz w:val="24"/>
                <w:szCs w:val="24"/>
              </w:rPr>
              <w:t xml:space="preserve">serie </w:t>
            </w:r>
            <w:r w:rsidR="00297ADD" w:rsidRPr="00297ADD">
              <w:rPr>
                <w:rFonts w:ascii="Arial" w:hAnsi="Arial" w:cs="Arial"/>
                <w:sz w:val="24"/>
                <w:szCs w:val="24"/>
              </w:rPr>
              <w:t>Proyecto Educativo de Escuela</w:t>
            </w:r>
            <w:r w:rsidR="00297ADD" w:rsidRPr="00A75622">
              <w:rPr>
                <w:rFonts w:ascii="Arial" w:hAnsi="Arial" w:cs="Arial"/>
                <w:sz w:val="24"/>
                <w:szCs w:val="24"/>
              </w:rPr>
              <w:t xml:space="preserve"> </w:t>
            </w:r>
            <w:r w:rsidRPr="00A75622">
              <w:rPr>
                <w:rFonts w:ascii="Arial" w:hAnsi="Arial" w:cs="Arial"/>
                <w:sz w:val="24"/>
                <w:szCs w:val="24"/>
              </w:rPr>
              <w:t xml:space="preserve">no tuvo </w:t>
            </w:r>
            <w:r w:rsidRPr="00A75622">
              <w:rPr>
                <w:rFonts w:ascii="Arial" w:hAnsi="Arial" w:cs="Arial"/>
                <w:sz w:val="24"/>
                <w:szCs w:val="24"/>
              </w:rPr>
              <w:lastRenderedPageBreak/>
              <w:t xml:space="preserve">valor contable ya que la información que contienen los documentos que la componen no refleja movimientos económicos y/o financieros de la entidad.   </w:t>
            </w:r>
          </w:p>
        </w:tc>
        <w:tc>
          <w:tcPr>
            <w:tcW w:w="853" w:type="pct"/>
            <w:shd w:val="clear" w:color="auto" w:fill="auto"/>
            <w:vAlign w:val="center"/>
          </w:tcPr>
          <w:p w14:paraId="688A64EF" w14:textId="290C856D" w:rsidR="003B1773" w:rsidRPr="00A75622" w:rsidRDefault="000311CA" w:rsidP="00940C06">
            <w:pPr>
              <w:jc w:val="both"/>
              <w:rPr>
                <w:rFonts w:ascii="Arial" w:hAnsi="Arial" w:cs="Arial"/>
                <w:sz w:val="24"/>
                <w:szCs w:val="24"/>
              </w:rPr>
            </w:pPr>
            <w:r>
              <w:rPr>
                <w:rFonts w:ascii="Arial" w:hAnsi="Arial" w:cs="Arial"/>
                <w:sz w:val="24"/>
                <w:szCs w:val="24"/>
              </w:rPr>
              <w:lastRenderedPageBreak/>
              <w:t xml:space="preserve">La subserie </w:t>
            </w:r>
            <w:r w:rsidR="00297ADD" w:rsidRPr="00297ADD">
              <w:rPr>
                <w:rFonts w:ascii="Arial" w:hAnsi="Arial" w:cs="Arial"/>
                <w:sz w:val="24"/>
                <w:szCs w:val="24"/>
              </w:rPr>
              <w:t>Proyecto Educativo de Escuela</w:t>
            </w:r>
            <w:r w:rsidR="00E03A8F" w:rsidRPr="00A75622">
              <w:rPr>
                <w:rFonts w:ascii="Arial" w:hAnsi="Arial" w:cs="Arial"/>
                <w:sz w:val="24"/>
                <w:szCs w:val="24"/>
              </w:rPr>
              <w:t xml:space="preserve"> </w:t>
            </w:r>
            <w:r w:rsidR="003B1773" w:rsidRPr="00A75622">
              <w:rPr>
                <w:rFonts w:ascii="Arial" w:hAnsi="Arial" w:cs="Arial"/>
                <w:sz w:val="24"/>
                <w:szCs w:val="24"/>
              </w:rPr>
              <w:t xml:space="preserve">no tuvo </w:t>
            </w:r>
            <w:r w:rsidR="003B1773" w:rsidRPr="00A75622">
              <w:rPr>
                <w:rFonts w:ascii="Arial" w:hAnsi="Arial" w:cs="Arial"/>
                <w:sz w:val="24"/>
                <w:szCs w:val="24"/>
              </w:rPr>
              <w:lastRenderedPageBreak/>
              <w:t>valor fiscal por cuanto no registra documentos decisorios que comprometan el manejo presupuestal, de bienes o recursos públicos.</w:t>
            </w:r>
          </w:p>
        </w:tc>
      </w:tr>
      <w:tr w:rsidR="003B1773" w:rsidRPr="00A75622"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A75622" w:rsidRDefault="003A3A72" w:rsidP="00AD356A">
            <w:pPr>
              <w:jc w:val="both"/>
              <w:rPr>
                <w:rFonts w:ascii="Arial" w:hAnsi="Arial" w:cs="Arial"/>
                <w:b/>
                <w:sz w:val="24"/>
                <w:szCs w:val="24"/>
              </w:rPr>
            </w:pPr>
            <w:r w:rsidRPr="00A75622">
              <w:rPr>
                <w:rFonts w:ascii="Arial" w:eastAsia="Arial" w:hAnsi="Arial" w:cs="Arial"/>
                <w:b/>
                <w:sz w:val="24"/>
                <w:szCs w:val="24"/>
              </w:rPr>
              <w:t xml:space="preserve">NTC 4436, del 22 de julio de </w:t>
            </w:r>
            <w:r w:rsidR="00AD356A" w:rsidRPr="00A75622">
              <w:rPr>
                <w:rFonts w:ascii="Arial" w:eastAsia="Arial" w:hAnsi="Arial" w:cs="Arial"/>
                <w:b/>
                <w:sz w:val="24"/>
                <w:szCs w:val="24"/>
              </w:rPr>
              <w:t>1998</w:t>
            </w:r>
            <w:r w:rsidRPr="00A75622">
              <w:rPr>
                <w:rFonts w:ascii="Arial" w:eastAsia="Arial" w:hAnsi="Arial" w:cs="Arial"/>
                <w:sz w:val="24"/>
                <w:szCs w:val="24"/>
              </w:rPr>
              <w:t xml:space="preserve"> </w:t>
            </w:r>
            <w:r w:rsidR="00AD356A" w:rsidRPr="00A75622">
              <w:rPr>
                <w:rFonts w:ascii="Arial" w:eastAsia="Arial" w:hAnsi="Arial" w:cs="Arial"/>
                <w:sz w:val="24"/>
                <w:szCs w:val="24"/>
              </w:rPr>
              <w:t>"Información y documentación. Papel para documentos de Archivo. Requisitos para la permanencia y durabilidad”.</w:t>
            </w:r>
          </w:p>
          <w:p w14:paraId="3DB88D6E" w14:textId="08D10169" w:rsidR="005C73B6" w:rsidRDefault="00AD356A" w:rsidP="00AD356A">
            <w:pPr>
              <w:jc w:val="both"/>
              <w:rPr>
                <w:rFonts w:ascii="Arial" w:eastAsia="Arial" w:hAnsi="Arial" w:cs="Arial"/>
                <w:sz w:val="24"/>
                <w:szCs w:val="24"/>
              </w:rPr>
            </w:pPr>
            <w:r w:rsidRPr="00A75622">
              <w:rPr>
                <w:rFonts w:ascii="Arial" w:eastAsia="Arial" w:hAnsi="Arial" w:cs="Arial"/>
                <w:b/>
                <w:sz w:val="24"/>
                <w:szCs w:val="24"/>
              </w:rPr>
              <w:t>Acuerdo 006 de 2014</w:t>
            </w:r>
            <w:r w:rsidRPr="00A75622">
              <w:rPr>
                <w:rFonts w:ascii="Arial" w:eastAsia="Arial" w:hAnsi="Arial" w:cs="Arial"/>
                <w:sz w:val="24"/>
                <w:szCs w:val="24"/>
              </w:rPr>
              <w:t xml:space="preserve"> sobre “Conservación de Documentos”</w:t>
            </w:r>
          </w:p>
          <w:p w14:paraId="552FBE28" w14:textId="6E29433E" w:rsidR="00674FE6" w:rsidRPr="00A75622" w:rsidRDefault="00674FE6" w:rsidP="00AD356A">
            <w:pPr>
              <w:jc w:val="both"/>
              <w:rPr>
                <w:rFonts w:ascii="Arial" w:hAnsi="Arial" w:cs="Arial"/>
                <w:b/>
                <w:sz w:val="24"/>
                <w:szCs w:val="24"/>
              </w:rPr>
            </w:pPr>
            <w:r w:rsidRPr="00FE4463">
              <w:rPr>
                <w:rFonts w:ascii="Arial" w:eastAsia="Arial" w:hAnsi="Arial" w:cs="Arial"/>
                <w:b/>
                <w:sz w:val="24"/>
                <w:szCs w:val="24"/>
              </w:rPr>
              <w:t>Acuerdo 014 del 23 de julio de 2018</w:t>
            </w:r>
            <w:r>
              <w:rPr>
                <w:rFonts w:ascii="Arial" w:eastAsia="Arial" w:hAnsi="Arial" w:cs="Arial"/>
                <w:sz w:val="24"/>
                <w:szCs w:val="24"/>
              </w:rPr>
              <w:t xml:space="preserve"> “Por el cual se modifica el estatuto general de la Universidad Nacional Abierta y a Distancia”</w:t>
            </w:r>
          </w:p>
          <w:p w14:paraId="1AE64439" w14:textId="74DC623A" w:rsidR="00AD356A" w:rsidRPr="00A75622" w:rsidRDefault="00297ADD" w:rsidP="006077B6">
            <w:pPr>
              <w:jc w:val="both"/>
              <w:rPr>
                <w:rFonts w:ascii="Arial" w:hAnsi="Arial" w:cs="Arial"/>
                <w:b/>
                <w:sz w:val="24"/>
                <w:szCs w:val="24"/>
              </w:rPr>
            </w:pPr>
            <w:r w:rsidRPr="00297ADD">
              <w:rPr>
                <w:rFonts w:ascii="Arial" w:hAnsi="Arial" w:cs="Arial"/>
                <w:b/>
                <w:sz w:val="24"/>
                <w:szCs w:val="24"/>
              </w:rPr>
              <w:t>Acuerdo 039 del 3 de diciembre de 2019</w:t>
            </w:r>
            <w:r w:rsidRPr="00297ADD">
              <w:rPr>
                <w:rFonts w:ascii="Arial" w:hAnsi="Arial" w:cs="Arial"/>
                <w:sz w:val="24"/>
                <w:szCs w:val="24"/>
              </w:rPr>
              <w:t xml:space="preserve"> “Por el cual se modifica el Estatuto Organizacional de la Universidad Nacional Abierta y a Distancia (UNAD) Artículo 72. Funciones de las Escuelas. Literal e)</w:t>
            </w:r>
          </w:p>
        </w:tc>
      </w:tr>
    </w:tbl>
    <w:p w14:paraId="76CD6669" w14:textId="28AA55A5" w:rsidR="003B1773" w:rsidRPr="00A75622"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 xml:space="preserve">3. </w:t>
      </w:r>
      <w:r w:rsidRPr="00A75622">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A75622"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Tiempo total</w:t>
            </w:r>
          </w:p>
        </w:tc>
      </w:tr>
      <w:tr w:rsidR="003B1773" w:rsidRPr="00A75622"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011F99C3" w:rsidR="003B1773" w:rsidRPr="00A75622" w:rsidRDefault="00297ADD" w:rsidP="003A2443">
            <w:pPr>
              <w:jc w:val="center"/>
              <w:rPr>
                <w:rFonts w:ascii="Arial" w:hAnsi="Arial" w:cs="Arial"/>
                <w:sz w:val="24"/>
                <w:szCs w:val="24"/>
              </w:rPr>
            </w:pPr>
            <w:r>
              <w:rPr>
                <w:rFonts w:ascii="Arial" w:hAnsi="Arial" w:cs="Arial"/>
                <w:sz w:val="24"/>
                <w:szCs w:val="24"/>
              </w:rPr>
              <w:t>3</w:t>
            </w:r>
          </w:p>
        </w:tc>
        <w:tc>
          <w:tcPr>
            <w:tcW w:w="1123" w:type="pct"/>
            <w:gridSpan w:val="4"/>
            <w:shd w:val="clear" w:color="auto" w:fill="auto"/>
            <w:vAlign w:val="center"/>
          </w:tcPr>
          <w:p w14:paraId="033EBE89" w14:textId="3CDB372D" w:rsidR="003B1773" w:rsidRPr="00A75622" w:rsidRDefault="00297ADD" w:rsidP="00297ADD">
            <w:pPr>
              <w:rPr>
                <w:rFonts w:ascii="Arial" w:hAnsi="Arial" w:cs="Arial"/>
                <w:sz w:val="24"/>
                <w:szCs w:val="24"/>
              </w:rPr>
            </w:pPr>
            <w:r>
              <w:rPr>
                <w:rFonts w:ascii="Arial" w:hAnsi="Arial" w:cs="Arial"/>
                <w:sz w:val="24"/>
                <w:szCs w:val="24"/>
              </w:rPr>
              <w:t>5</w:t>
            </w:r>
          </w:p>
        </w:tc>
        <w:tc>
          <w:tcPr>
            <w:tcW w:w="1261" w:type="pct"/>
            <w:gridSpan w:val="3"/>
            <w:shd w:val="clear" w:color="auto" w:fill="auto"/>
            <w:vAlign w:val="center"/>
          </w:tcPr>
          <w:p w14:paraId="19204BF6" w14:textId="0F0BB302" w:rsidR="003B1773" w:rsidRPr="00A75622" w:rsidRDefault="00297ADD" w:rsidP="003A2443">
            <w:pPr>
              <w:jc w:val="center"/>
              <w:rPr>
                <w:rFonts w:ascii="Arial" w:hAnsi="Arial" w:cs="Arial"/>
                <w:sz w:val="24"/>
                <w:szCs w:val="24"/>
              </w:rPr>
            </w:pPr>
            <w:r>
              <w:rPr>
                <w:rFonts w:ascii="Arial" w:hAnsi="Arial" w:cs="Arial"/>
                <w:sz w:val="24"/>
                <w:szCs w:val="24"/>
              </w:rPr>
              <w:t>8</w:t>
            </w:r>
          </w:p>
        </w:tc>
      </w:tr>
      <w:tr w:rsidR="003B1773" w:rsidRPr="00A75622"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 xml:space="preserve">Disposición </w:t>
            </w:r>
            <w:r w:rsidRPr="00A75622">
              <w:rPr>
                <w:rFonts w:ascii="Arial" w:eastAsia="Calibri" w:hAnsi="Arial" w:cs="Arial"/>
                <w:b/>
                <w:bCs/>
                <w:color w:val="000000"/>
                <w:kern w:val="24"/>
              </w:rPr>
              <w:lastRenderedPageBreak/>
              <w:t>Final:</w:t>
            </w:r>
          </w:p>
        </w:tc>
        <w:tc>
          <w:tcPr>
            <w:tcW w:w="779" w:type="pct"/>
            <w:shd w:val="clear" w:color="auto" w:fill="auto"/>
            <w:tcMar>
              <w:top w:w="15" w:type="dxa"/>
              <w:left w:w="56" w:type="dxa"/>
              <w:bottom w:w="0" w:type="dxa"/>
              <w:right w:w="56" w:type="dxa"/>
            </w:tcMar>
            <w:vAlign w:val="center"/>
            <w:hideMark/>
          </w:tcPr>
          <w:p w14:paraId="3F93365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lastRenderedPageBreak/>
              <w:t xml:space="preserve">Conservación </w:t>
            </w:r>
            <w:r w:rsidRPr="00A75622">
              <w:rPr>
                <w:rFonts w:ascii="Arial" w:hAnsi="Arial" w:cs="Arial"/>
                <w:b/>
                <w:bCs/>
                <w:sz w:val="24"/>
                <w:szCs w:val="24"/>
              </w:rPr>
              <w:lastRenderedPageBreak/>
              <w:t>Total</w:t>
            </w:r>
          </w:p>
        </w:tc>
        <w:tc>
          <w:tcPr>
            <w:tcW w:w="322" w:type="pct"/>
            <w:shd w:val="clear" w:color="auto" w:fill="auto"/>
            <w:vAlign w:val="center"/>
          </w:tcPr>
          <w:p w14:paraId="0D982E3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lastRenderedPageBreak/>
              <w:t>X</w:t>
            </w:r>
          </w:p>
        </w:tc>
        <w:tc>
          <w:tcPr>
            <w:tcW w:w="626" w:type="pct"/>
            <w:gridSpan w:val="2"/>
            <w:shd w:val="clear" w:color="auto" w:fill="auto"/>
            <w:vAlign w:val="center"/>
          </w:tcPr>
          <w:p w14:paraId="223133C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Eliminación</w:t>
            </w:r>
          </w:p>
        </w:tc>
        <w:tc>
          <w:tcPr>
            <w:tcW w:w="346" w:type="pct"/>
            <w:shd w:val="clear" w:color="auto" w:fill="auto"/>
            <w:vAlign w:val="center"/>
          </w:tcPr>
          <w:p w14:paraId="549BCCDB" w14:textId="77777777" w:rsidR="003B1773" w:rsidRPr="00A75622"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A75622"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A75622" w:rsidRDefault="003B1773" w:rsidP="003B1773">
            <w:pPr>
              <w:jc w:val="both"/>
              <w:rPr>
                <w:rFonts w:ascii="Arial" w:hAnsi="Arial" w:cs="Arial"/>
                <w:sz w:val="24"/>
                <w:szCs w:val="24"/>
              </w:rPr>
            </w:pPr>
            <w:r w:rsidRPr="00A75622">
              <w:rPr>
                <w:rFonts w:ascii="Arial" w:hAnsi="Arial" w:cs="Arial"/>
                <w:b/>
                <w:bCs/>
                <w:sz w:val="24"/>
                <w:szCs w:val="24"/>
              </w:rPr>
              <w:t>Digitalización</w:t>
            </w:r>
          </w:p>
        </w:tc>
        <w:tc>
          <w:tcPr>
            <w:tcW w:w="348" w:type="pct"/>
            <w:shd w:val="clear" w:color="auto" w:fill="auto"/>
            <w:vAlign w:val="center"/>
          </w:tcPr>
          <w:p w14:paraId="5A1060C6"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r>
      <w:tr w:rsidR="003B1773" w:rsidRPr="00A75622"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lastRenderedPageBreak/>
              <w:t>3.3</w:t>
            </w:r>
          </w:p>
        </w:tc>
        <w:tc>
          <w:tcPr>
            <w:tcW w:w="852" w:type="pct"/>
            <w:shd w:val="clear" w:color="auto" w:fill="auto"/>
            <w:tcMar>
              <w:top w:w="15" w:type="dxa"/>
              <w:left w:w="56" w:type="dxa"/>
              <w:bottom w:w="0" w:type="dxa"/>
              <w:right w:w="56" w:type="dxa"/>
            </w:tcMar>
            <w:vAlign w:val="center"/>
          </w:tcPr>
          <w:p w14:paraId="46F2D52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42C13A98" w:rsidR="00940C06" w:rsidRPr="00A75622" w:rsidRDefault="00297ADD" w:rsidP="0038549D">
            <w:pPr>
              <w:jc w:val="both"/>
              <w:rPr>
                <w:rFonts w:ascii="Arial" w:hAnsi="Arial" w:cs="Arial"/>
                <w:sz w:val="24"/>
                <w:szCs w:val="24"/>
              </w:rPr>
            </w:pPr>
            <w:r w:rsidRPr="00297ADD">
              <w:rPr>
                <w:rFonts w:ascii="Arial" w:hAnsi="Arial" w:cs="Arial"/>
                <w:sz w:val="24"/>
                <w:szCs w:val="24"/>
              </w:rPr>
              <w:t>Cumplido el tiempo de retención conservar totalmente ya que la información adquiere valores secundarios donde quedan consignadas responsabilidades formativas, investigativas, proyección social, inclusión social, innovación e internacionalización, como contribución al cumplimiento de la misión institucional. Con el fin de garantizar la perdurabilidad y accesibilidad al documento se debe generar una copia de seguridad o respaldo, tomando en cuenta lo establecido en la (introducción numeral 5.6 literal a y b) .En cumplimiento a los lineamientos técnicos de la Ley 594 de 2000, estos documentos se conservarán siempre en su soporte original. Este proceso debe ser realizado por el encargado de Escuela de Ciencias Básicas, Tecnología e Ingeniería con el acompañamiento del grupo de Gestión Documental y Función Notarial.</w:t>
            </w:r>
          </w:p>
        </w:tc>
      </w:tr>
    </w:tbl>
    <w:p w14:paraId="7AA3F47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A75622"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854" w:type="pct"/>
            <w:gridSpan w:val="2"/>
            <w:shd w:val="clear" w:color="auto" w:fill="auto"/>
            <w:vAlign w:val="center"/>
          </w:tcPr>
          <w:p w14:paraId="33F470B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853" w:type="pct"/>
            <w:shd w:val="clear" w:color="auto" w:fill="auto"/>
            <w:vAlign w:val="center"/>
          </w:tcPr>
          <w:p w14:paraId="43955554" w14:textId="77777777" w:rsidR="003B1773" w:rsidRPr="00A75622" w:rsidRDefault="003B1773" w:rsidP="003B1773">
            <w:pPr>
              <w:jc w:val="both"/>
              <w:rPr>
                <w:rFonts w:ascii="Arial" w:hAnsi="Arial" w:cs="Arial"/>
                <w:sz w:val="24"/>
                <w:szCs w:val="24"/>
              </w:rPr>
            </w:pPr>
          </w:p>
        </w:tc>
      </w:tr>
      <w:tr w:rsidR="003B1773" w:rsidRPr="00A75622"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324" w:type="pct"/>
            <w:shd w:val="clear" w:color="auto" w:fill="auto"/>
            <w:vAlign w:val="center"/>
          </w:tcPr>
          <w:p w14:paraId="2B679C4A" w14:textId="77777777" w:rsidR="003B1773" w:rsidRPr="00A75622"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390" w:type="pct"/>
            <w:shd w:val="clear" w:color="auto" w:fill="auto"/>
            <w:vAlign w:val="center"/>
          </w:tcPr>
          <w:p w14:paraId="71D032A0" w14:textId="77777777" w:rsidR="003B1773" w:rsidRPr="00A75622"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A75622" w:rsidRDefault="003B1773" w:rsidP="003B1773">
            <w:pPr>
              <w:jc w:val="both"/>
              <w:rPr>
                <w:rFonts w:ascii="Arial" w:hAnsi="Arial" w:cs="Arial"/>
                <w:sz w:val="24"/>
                <w:szCs w:val="24"/>
              </w:rPr>
            </w:pPr>
            <w:r w:rsidRPr="00A75622">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A75622" w:rsidRDefault="003B1773" w:rsidP="003B1773">
            <w:pPr>
              <w:jc w:val="both"/>
              <w:rPr>
                <w:rFonts w:ascii="Arial" w:hAnsi="Arial" w:cs="Arial"/>
                <w:sz w:val="24"/>
                <w:szCs w:val="24"/>
              </w:rPr>
            </w:pPr>
          </w:p>
        </w:tc>
      </w:tr>
      <w:tr w:rsidR="003B1773" w:rsidRPr="00A75622"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A75622" w:rsidRDefault="003B1773" w:rsidP="003B1773">
            <w:pPr>
              <w:jc w:val="both"/>
              <w:rPr>
                <w:rFonts w:ascii="Arial" w:hAnsi="Arial" w:cs="Arial"/>
                <w:sz w:val="24"/>
                <w:szCs w:val="24"/>
              </w:rPr>
            </w:pPr>
          </w:p>
        </w:tc>
      </w:tr>
    </w:tbl>
    <w:p w14:paraId="3E6C6FA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A75622"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 xml:space="preserve">Oscar Mora Calderón </w:t>
            </w:r>
          </w:p>
        </w:tc>
      </w:tr>
      <w:tr w:rsidR="003B1773" w:rsidRPr="00A75622"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2/12/2020</w:t>
            </w:r>
          </w:p>
        </w:tc>
      </w:tr>
    </w:tbl>
    <w:p w14:paraId="35B9391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75622" w:rsidRDefault="008133ED" w:rsidP="003B1773">
      <w:pPr>
        <w:jc w:val="both"/>
        <w:rPr>
          <w:rFonts w:ascii="Arial" w:eastAsia="Arial" w:hAnsi="Arial" w:cs="Arial"/>
          <w:sz w:val="24"/>
          <w:szCs w:val="24"/>
        </w:rPr>
      </w:pPr>
    </w:p>
    <w:p w14:paraId="59988D5F" w14:textId="77777777" w:rsidR="003A2443" w:rsidRPr="00A75622" w:rsidRDefault="003A2443">
      <w:pPr>
        <w:jc w:val="both"/>
        <w:rPr>
          <w:rFonts w:ascii="Arial" w:eastAsia="Arial" w:hAnsi="Arial" w:cs="Arial"/>
          <w:sz w:val="24"/>
          <w:szCs w:val="24"/>
        </w:rPr>
      </w:pPr>
    </w:p>
    <w:p w14:paraId="024585D4" w14:textId="77777777" w:rsidR="00412401" w:rsidRPr="00A75622" w:rsidRDefault="00412401">
      <w:pPr>
        <w:jc w:val="both"/>
        <w:rPr>
          <w:rFonts w:ascii="Arial" w:eastAsia="Arial" w:hAnsi="Arial" w:cs="Arial"/>
          <w:sz w:val="24"/>
          <w:szCs w:val="24"/>
        </w:rPr>
      </w:pPr>
    </w:p>
    <w:sectPr w:rsidR="00412401" w:rsidRPr="00A75622"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C4A6B" w14:textId="77777777" w:rsidR="007F725A" w:rsidRDefault="007F725A">
      <w:r>
        <w:separator/>
      </w:r>
    </w:p>
  </w:endnote>
  <w:endnote w:type="continuationSeparator" w:id="0">
    <w:p w14:paraId="4052D072" w14:textId="77777777" w:rsidR="007F725A" w:rsidRDefault="007F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EDA08" w14:textId="77777777" w:rsidR="007F725A" w:rsidRDefault="007F725A">
      <w:r>
        <w:separator/>
      </w:r>
    </w:p>
  </w:footnote>
  <w:footnote w:type="continuationSeparator" w:id="0">
    <w:p w14:paraId="45F261BC" w14:textId="77777777" w:rsidR="007F725A" w:rsidRDefault="007F72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7F725A"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62D83A90"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674FE6" w:rsidRPr="00674FE6">
            <w:rPr>
              <w:rFonts w:ascii="Franklin Gothic Book" w:eastAsia="Arial" w:hAnsi="Franklin Gothic Book" w:cs="Arial"/>
              <w:b/>
              <w:bCs/>
              <w:noProof/>
              <w:color w:val="0070C0"/>
              <w:w w:val="95"/>
              <w:sz w:val="20"/>
              <w:szCs w:val="20"/>
              <w:lang w:val="es-ES"/>
            </w:rPr>
            <w:t>1</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674FE6" w:rsidRPr="00674FE6">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311C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97ADD"/>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67DAC"/>
    <w:rsid w:val="00372EC1"/>
    <w:rsid w:val="00376CEB"/>
    <w:rsid w:val="00381666"/>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4FE6"/>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6F73B9"/>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895"/>
    <w:rsid w:val="007F68D9"/>
    <w:rsid w:val="007F725A"/>
    <w:rsid w:val="00812B02"/>
    <w:rsid w:val="008133ED"/>
    <w:rsid w:val="00816156"/>
    <w:rsid w:val="00827905"/>
    <w:rsid w:val="00842367"/>
    <w:rsid w:val="00852365"/>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75622"/>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4B6E"/>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61136"/>
    <w:rsid w:val="00D7209E"/>
    <w:rsid w:val="00D74876"/>
    <w:rsid w:val="00D84AD3"/>
    <w:rsid w:val="00D86401"/>
    <w:rsid w:val="00D87E1D"/>
    <w:rsid w:val="00D94E64"/>
    <w:rsid w:val="00DA7D5E"/>
    <w:rsid w:val="00DB197B"/>
    <w:rsid w:val="00DC550A"/>
    <w:rsid w:val="00DD2AEF"/>
    <w:rsid w:val="00DD5F39"/>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A1652"/>
    <w:rsid w:val="00EB2CDA"/>
    <w:rsid w:val="00EC6A77"/>
    <w:rsid w:val="00EE765E"/>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5FAC119A-3851-416F-9EC8-AB9527D4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3B712-5831-4E22-8DFA-48AE545B4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828</Words>
  <Characters>4724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48</cp:revision>
  <cp:lastPrinted>2013-08-23T16:35:00Z</cp:lastPrinted>
  <dcterms:created xsi:type="dcterms:W3CDTF">2020-12-04T13:06:00Z</dcterms:created>
  <dcterms:modified xsi:type="dcterms:W3CDTF">2020-12-15T16:38:00Z</dcterms:modified>
</cp:coreProperties>
</file>