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7CF8F" w14:textId="77777777" w:rsidR="003B1773" w:rsidRPr="00C73B4C" w:rsidRDefault="003B1773" w:rsidP="003B1773">
      <w:pPr>
        <w:jc w:val="both"/>
        <w:rPr>
          <w:rFonts w:ascii="Arial" w:hAnsi="Arial" w:cs="Arial"/>
          <w:sz w:val="24"/>
          <w:szCs w:val="24"/>
        </w:rPr>
      </w:pPr>
    </w:p>
    <w:p w14:paraId="0B029E15" w14:textId="77777777" w:rsidR="003B1773" w:rsidRPr="00C73B4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C73B4C">
        <w:rPr>
          <w:rFonts w:ascii="Arial" w:hAnsi="Arial" w:cs="Arial"/>
          <w:b/>
          <w:bCs/>
        </w:rPr>
        <w:t>1.</w:t>
      </w:r>
      <w:r w:rsidRPr="00C73B4C">
        <w:rPr>
          <w:rFonts w:ascii="Arial" w:hAnsi="Arial" w:cs="Arial"/>
        </w:rPr>
        <w:t xml:space="preserve"> </w:t>
      </w:r>
      <w:r w:rsidRPr="00C73B4C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3B1773" w:rsidRPr="00C73B4C" w14:paraId="038C728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E774C4A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1B6A9B8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799D4FB" w14:textId="0C091471" w:rsidR="003B1773" w:rsidRPr="00C73B4C" w:rsidRDefault="00A75622" w:rsidP="00A756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PROYECTOS</w:t>
            </w:r>
            <w:r w:rsidR="0038549D" w:rsidRPr="00C73B4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14D5" w:rsidRPr="00C73B4C">
              <w:rPr>
                <w:rFonts w:ascii="Arial" w:hAnsi="Arial" w:cs="Arial"/>
                <w:sz w:val="24"/>
                <w:szCs w:val="24"/>
              </w:rPr>
              <w:t>/</w:t>
            </w:r>
            <w:r w:rsidR="0038549D" w:rsidRPr="00C73B4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0ED4" w:rsidRPr="00C73B4C">
              <w:rPr>
                <w:rFonts w:ascii="Arial" w:hAnsi="Arial" w:cs="Arial"/>
                <w:sz w:val="24"/>
                <w:szCs w:val="24"/>
              </w:rPr>
              <w:t>Proyectos de Investigación</w:t>
            </w:r>
          </w:p>
        </w:tc>
      </w:tr>
      <w:tr w:rsidR="003B1773" w:rsidRPr="00C73B4C" w14:paraId="124517E7" w14:textId="77777777" w:rsidTr="008A4185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E139577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59D4F1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14AEBCE" w14:textId="55D1B6E1" w:rsidR="003B1773" w:rsidRPr="00C73B4C" w:rsidRDefault="00310ED4" w:rsidP="00BB53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Los documentos de esta subserie dan a conocer las acciones de carácter administrativo dentro del proceso de investigación. Lo anterior en concordancia el Acuerdo 039 del 3 de diciembre de 2019 “Por el cual se modifica el Estatuto Organizacional de la Universidad Nacional Abierta y a Distancia (UNAD) Artículo 81. Funciones de los Nodos Zonales. Literal i) Gestionar el diseño y ejecución de programas y proyectos de prestación de servicios académicos e investigativos, asesorías, consultorías e interventorías, de acuerdo con su responsabilidad sustantiva, que proyecten la acción de la Universidad, en coordinación con los sistemas y unidades misionales y operacionales".</w:t>
            </w:r>
          </w:p>
        </w:tc>
      </w:tr>
      <w:tr w:rsidR="003B1773" w:rsidRPr="00C73B4C" w14:paraId="6F45C40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FB2B921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751A62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81CA96" w14:textId="09FE03DB" w:rsidR="00E03A8F" w:rsidRPr="00C73B4C" w:rsidRDefault="00310ED4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DIRECCIONES ZONALES Y CENTROS 117</w:t>
            </w:r>
          </w:p>
        </w:tc>
      </w:tr>
      <w:tr w:rsidR="003B1773" w:rsidRPr="00C73B4C" w14:paraId="36073D37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7EB4E2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EE28AE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B683D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1CFABB83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59F851C7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26661A2F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00AC1A" w14:textId="77777777" w:rsidR="003B1773" w:rsidRPr="00C73B4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FD7489F" w14:textId="77777777" w:rsidR="003B1773" w:rsidRPr="00C73B4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C73B4C">
        <w:rPr>
          <w:rFonts w:ascii="Arial" w:hAnsi="Arial" w:cs="Arial"/>
          <w:b/>
          <w:bCs/>
        </w:rPr>
        <w:t xml:space="preserve">2. </w:t>
      </w:r>
      <w:r w:rsidRPr="00C73B4C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3B1773" w:rsidRPr="00C73B4C" w14:paraId="695BD3F9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109DA2D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039EBA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ED301F" w14:textId="53B4C7F2" w:rsidR="003B1773" w:rsidRPr="00C73B4C" w:rsidRDefault="00310ED4" w:rsidP="00310E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CO" w:eastAsia="es-CO"/>
              </w:rPr>
            </w:pPr>
            <w:r w:rsidRPr="00C73B4C">
              <w:rPr>
                <w:rFonts w:ascii="Arial" w:hAnsi="Arial" w:cs="Arial"/>
                <w:sz w:val="24"/>
                <w:szCs w:val="24"/>
                <w:lang w:val="es-CO" w:eastAsia="es-CO"/>
              </w:rPr>
              <w:t>Estos documentos dan a conocer las acciones de carácter administrativo dentro del proceso de investigación.</w:t>
            </w:r>
          </w:p>
        </w:tc>
      </w:tr>
      <w:tr w:rsidR="003B1773" w:rsidRPr="00C73B4C" w14:paraId="2265845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2DFF8F0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C73B4C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55DBDDE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CCF8B7C" w14:textId="77777777" w:rsidR="00310ED4" w:rsidRPr="00C73B4C" w:rsidRDefault="00310ED4" w:rsidP="00310E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Convocatoria Institucional</w:t>
            </w:r>
          </w:p>
          <w:p w14:paraId="2126F42F" w14:textId="77777777" w:rsidR="00310ED4" w:rsidRPr="00C73B4C" w:rsidRDefault="00310ED4" w:rsidP="00310E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Propuestas</w:t>
            </w:r>
          </w:p>
          <w:p w14:paraId="6E726445" w14:textId="77777777" w:rsidR="00310ED4" w:rsidRPr="00C73B4C" w:rsidRDefault="00310ED4" w:rsidP="00310E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Resolución de Aprobación</w:t>
            </w:r>
          </w:p>
          <w:p w14:paraId="357DA9EC" w14:textId="77777777" w:rsidR="00310ED4" w:rsidRPr="00C73B4C" w:rsidRDefault="00310ED4" w:rsidP="00310E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Actas de Comité de Investigación de Escuelas</w:t>
            </w:r>
          </w:p>
          <w:p w14:paraId="30EC8A24" w14:textId="77777777" w:rsidR="00310ED4" w:rsidRPr="00C73B4C" w:rsidRDefault="00310ED4" w:rsidP="00310E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Informes Finales</w:t>
            </w:r>
          </w:p>
          <w:p w14:paraId="5849CDB5" w14:textId="7D7C64E3" w:rsidR="00142965" w:rsidRPr="00C73B4C" w:rsidRDefault="00310ED4" w:rsidP="00310E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Productos</w:t>
            </w:r>
          </w:p>
        </w:tc>
      </w:tr>
      <w:tr w:rsidR="003B1773" w:rsidRPr="00C73B4C" w14:paraId="0829673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B93443E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C73B4C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ADC64E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9D789F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3B1773" w:rsidRPr="00C73B4C" w14:paraId="7560D41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6A9C8D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C73B4C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049DB3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2292A7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eastAsia="Arial" w:hAnsi="Arial" w:cs="Arial"/>
                <w:sz w:val="24"/>
                <w:szCs w:val="24"/>
              </w:rPr>
              <w:t>Papel industrial tipo bond de 75g/m2. Según el Acuerdo 006 de 2014 sobre “Conservación de Documentos” que establece que los documentos desde su producción debe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3B1773" w:rsidRPr="00C73B4C" w14:paraId="1358D2F9" w14:textId="77777777" w:rsidTr="008A4185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B5D592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C73B4C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CEF9B6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4E9362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478EF64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E84B289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3C1F821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3B1773" w:rsidRPr="00C73B4C" w14:paraId="204F21E2" w14:textId="77777777" w:rsidTr="008A4185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1A24AC9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1BE0ED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90D11D" w14:textId="259EEAD0" w:rsidR="003B1773" w:rsidRPr="0029374B" w:rsidRDefault="00940C06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374B"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="00D7209E" w:rsidRPr="0029374B">
              <w:rPr>
                <w:rFonts w:ascii="Arial" w:hAnsi="Arial" w:cs="Arial"/>
                <w:sz w:val="24"/>
                <w:szCs w:val="24"/>
              </w:rPr>
              <w:t>sub</w:t>
            </w:r>
            <w:r w:rsidR="003B1773" w:rsidRPr="0029374B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310ED4" w:rsidRPr="0029374B">
              <w:rPr>
                <w:rFonts w:ascii="Arial" w:hAnsi="Arial" w:cs="Arial"/>
                <w:sz w:val="24"/>
                <w:szCs w:val="24"/>
              </w:rPr>
              <w:t xml:space="preserve">Proyectos de Investigación </w:t>
            </w:r>
            <w:r w:rsidR="003B1773" w:rsidRPr="0029374B">
              <w:rPr>
                <w:rFonts w:ascii="Arial" w:hAnsi="Arial" w:cs="Arial"/>
                <w:sz w:val="24"/>
                <w:szCs w:val="24"/>
              </w:rPr>
              <w:t xml:space="preserve">tuvo valor administrativo ya que daba a conocer el proceso de </w:t>
            </w:r>
            <w:r w:rsidR="003B1773" w:rsidRPr="0029374B">
              <w:rPr>
                <w:rFonts w:ascii="Arial" w:hAnsi="Arial" w:cs="Arial"/>
                <w:sz w:val="24"/>
                <w:szCs w:val="24"/>
              </w:rPr>
              <w:lastRenderedPageBreak/>
              <w:t>eliminación documental</w:t>
            </w:r>
            <w:r w:rsidR="0029374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374B" w:rsidRPr="0029374B">
              <w:rPr>
                <w:rFonts w:ascii="Arial" w:hAnsi="Arial" w:cs="Arial"/>
                <w:sz w:val="24"/>
                <w:szCs w:val="24"/>
              </w:rPr>
              <w:t>tuvo valor administrativo ya que daba a conocer la proyección social, el desarrollo regional la investigación, y las innovaciones metodológicas y didácticas, con la utilización de las tecnologías de la información y de las comunicaciones para fomentar y acompañar el aprendizaje autónomo, generador de cultura y espíritu emprendedor que, en el marco de la sociedad global y del conocimiento, propicie el desarrollo económico, social y humano sostenible de las comunidades locales, regionales y globales con calidad, eficiencia y equidad social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0B350C1" w14:textId="4D76E7EC" w:rsidR="003B1773" w:rsidRPr="00C73B4C" w:rsidRDefault="003B1773" w:rsidP="00646E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374B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D7209E" w:rsidRPr="0029374B">
              <w:rPr>
                <w:rFonts w:ascii="Arial" w:hAnsi="Arial" w:cs="Arial"/>
                <w:sz w:val="24"/>
                <w:szCs w:val="24"/>
              </w:rPr>
              <w:t>sub</w:t>
            </w:r>
            <w:r w:rsidRPr="0029374B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310ED4" w:rsidRPr="0029374B">
              <w:rPr>
                <w:rFonts w:ascii="Arial" w:hAnsi="Arial" w:cs="Arial"/>
                <w:sz w:val="24"/>
                <w:szCs w:val="24"/>
              </w:rPr>
              <w:t xml:space="preserve">Proyectos de Investigación </w:t>
            </w:r>
            <w:r w:rsidRPr="0029374B">
              <w:rPr>
                <w:rFonts w:ascii="Arial" w:hAnsi="Arial" w:cs="Arial"/>
                <w:sz w:val="24"/>
                <w:szCs w:val="24"/>
              </w:rPr>
              <w:t xml:space="preserve">tuvo valor legal </w:t>
            </w:r>
            <w:r w:rsidR="0029374B" w:rsidRPr="0029374B">
              <w:rPr>
                <w:rFonts w:ascii="Arial" w:hAnsi="Arial" w:cs="Arial"/>
                <w:sz w:val="24"/>
                <w:szCs w:val="24"/>
              </w:rPr>
              <w:t>ya</w:t>
            </w:r>
            <w:r w:rsidR="0029374B" w:rsidRPr="000C0516">
              <w:rPr>
                <w:rFonts w:ascii="Arial" w:hAnsi="Arial" w:cs="Arial"/>
                <w:sz w:val="24"/>
                <w:szCs w:val="24"/>
              </w:rPr>
              <w:t xml:space="preserve"> que permitía conocer el desempeño de los procesos y actividades que </w:t>
            </w:r>
            <w:r w:rsidR="0029374B" w:rsidRPr="000C0516">
              <w:rPr>
                <w:rFonts w:ascii="Arial" w:hAnsi="Arial" w:cs="Arial"/>
                <w:sz w:val="24"/>
                <w:szCs w:val="24"/>
              </w:rPr>
              <w:lastRenderedPageBreak/>
              <w:t>realizaba la Universidad en el desarrollo de prácticas de investigación e innovación, protegiendo los derechos de autor, regulados por la Ley 23 del 28 de enero de 1982, la Resolución 069 de 2015 y demás normas concordantes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A2DC279" w14:textId="090B63EB" w:rsidR="003B1773" w:rsidRPr="00C73B4C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D7209E" w:rsidRPr="00C73B4C">
              <w:rPr>
                <w:rFonts w:ascii="Arial" w:hAnsi="Arial" w:cs="Arial"/>
                <w:sz w:val="24"/>
                <w:szCs w:val="24"/>
              </w:rPr>
              <w:t>sub</w:t>
            </w:r>
            <w:r w:rsidRPr="00C73B4C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310ED4" w:rsidRPr="00C73B4C">
              <w:rPr>
                <w:rFonts w:ascii="Arial" w:hAnsi="Arial" w:cs="Arial"/>
                <w:sz w:val="24"/>
                <w:szCs w:val="24"/>
              </w:rPr>
              <w:t xml:space="preserve">Proyectos de Investigación </w:t>
            </w:r>
            <w:r w:rsidRPr="00C73B4C">
              <w:rPr>
                <w:rFonts w:ascii="Arial" w:hAnsi="Arial" w:cs="Arial"/>
                <w:sz w:val="24"/>
                <w:szCs w:val="24"/>
              </w:rPr>
              <w:t xml:space="preserve">no tuvo valor contable ya que la información que contienen los documentos que </w:t>
            </w:r>
            <w:r w:rsidRPr="00C73B4C">
              <w:rPr>
                <w:rFonts w:ascii="Arial" w:hAnsi="Arial" w:cs="Arial"/>
                <w:sz w:val="24"/>
                <w:szCs w:val="24"/>
              </w:rPr>
              <w:lastRenderedPageBreak/>
              <w:t xml:space="preserve">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88A64EF" w14:textId="1B6F60DE" w:rsidR="003B1773" w:rsidRPr="00C73B4C" w:rsidRDefault="000311CA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310ED4" w:rsidRPr="00C73B4C">
              <w:rPr>
                <w:rFonts w:ascii="Arial" w:hAnsi="Arial" w:cs="Arial"/>
                <w:sz w:val="24"/>
                <w:szCs w:val="24"/>
              </w:rPr>
              <w:t xml:space="preserve">Proyectos de Investigación </w:t>
            </w:r>
            <w:r w:rsidR="003B1773" w:rsidRPr="00C73B4C">
              <w:rPr>
                <w:rFonts w:ascii="Arial" w:hAnsi="Arial" w:cs="Arial"/>
                <w:sz w:val="24"/>
                <w:szCs w:val="24"/>
              </w:rPr>
              <w:t xml:space="preserve">no tuvo valor fiscal por cuanto no registra documentos decisorios que </w:t>
            </w:r>
            <w:r w:rsidR="003B1773" w:rsidRPr="00C73B4C">
              <w:rPr>
                <w:rFonts w:ascii="Arial" w:hAnsi="Arial" w:cs="Arial"/>
                <w:sz w:val="24"/>
                <w:szCs w:val="24"/>
              </w:rPr>
              <w:lastRenderedPageBreak/>
              <w:t>comprometan el manejo presupuestal, de bienes o recursos públicos.</w:t>
            </w:r>
          </w:p>
        </w:tc>
      </w:tr>
      <w:tr w:rsidR="003B1773" w:rsidRPr="00C73B4C" w14:paraId="0ED404EB" w14:textId="77777777" w:rsidTr="008A4185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6D394A6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C73B4C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FA6AF6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D3E23F" w14:textId="77777777" w:rsidR="000250A5" w:rsidRPr="009F04FE" w:rsidRDefault="000250A5" w:rsidP="000250A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F04FE">
              <w:rPr>
                <w:rFonts w:ascii="Arial" w:hAnsi="Arial" w:cs="Arial"/>
                <w:b/>
                <w:sz w:val="24"/>
                <w:szCs w:val="24"/>
              </w:rPr>
              <w:t>Ley 23 del 28 de enero de 1982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“Derechos de autor”</w:t>
            </w:r>
          </w:p>
          <w:p w14:paraId="4DBBF50E" w14:textId="65D82E0B" w:rsidR="00AD356A" w:rsidRPr="00C73B4C" w:rsidRDefault="003A3A72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73B4C"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del 22 de julio de </w:t>
            </w:r>
            <w:r w:rsidR="00AD356A" w:rsidRPr="00C73B4C">
              <w:rPr>
                <w:rFonts w:ascii="Arial" w:eastAsia="Arial" w:hAnsi="Arial" w:cs="Arial"/>
                <w:b/>
                <w:sz w:val="24"/>
                <w:szCs w:val="24"/>
              </w:rPr>
              <w:t>1998</w:t>
            </w:r>
            <w:r w:rsidRPr="00C73B4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D356A" w:rsidRPr="00C73B4C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para la permanencia y durabilidad”.</w:t>
            </w:r>
          </w:p>
          <w:p w14:paraId="3DB88D6E" w14:textId="71CEFEFC" w:rsidR="005C73B6" w:rsidRDefault="00AD356A" w:rsidP="00AD356A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C73B4C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C73B4C">
              <w:rPr>
                <w:rFonts w:ascii="Arial" w:eastAsia="Arial" w:hAnsi="Arial" w:cs="Arial"/>
                <w:sz w:val="24"/>
                <w:szCs w:val="24"/>
              </w:rPr>
              <w:t xml:space="preserve"> sobre “Conserv</w:t>
            </w:r>
            <w:bookmarkStart w:id="0" w:name="_GoBack"/>
            <w:bookmarkEnd w:id="0"/>
            <w:r w:rsidRPr="00C73B4C">
              <w:rPr>
                <w:rFonts w:ascii="Arial" w:eastAsia="Arial" w:hAnsi="Arial" w:cs="Arial"/>
                <w:sz w:val="24"/>
                <w:szCs w:val="24"/>
              </w:rPr>
              <w:t>ación de Documentos”</w:t>
            </w:r>
          </w:p>
          <w:p w14:paraId="27A6E41D" w14:textId="77777777" w:rsidR="000250A5" w:rsidRDefault="000250A5" w:rsidP="000250A5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F04FE">
              <w:rPr>
                <w:rFonts w:ascii="Arial" w:eastAsia="Arial" w:hAnsi="Arial" w:cs="Arial"/>
                <w:b/>
                <w:sz w:val="24"/>
                <w:szCs w:val="24"/>
              </w:rPr>
              <w:t>Acuerdo 006 de 2008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“Estatuto de Propiedad Intelectual”</w:t>
            </w:r>
          </w:p>
          <w:p w14:paraId="2D18F05A" w14:textId="0EB5D7B7" w:rsidR="000250A5" w:rsidRPr="00C73B4C" w:rsidRDefault="000250A5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F04FE">
              <w:rPr>
                <w:rFonts w:ascii="Arial" w:eastAsia="Arial" w:hAnsi="Arial" w:cs="Arial"/>
                <w:b/>
                <w:sz w:val="24"/>
                <w:szCs w:val="24"/>
              </w:rPr>
              <w:t>Resolución 069 de 2015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“Administración de derechos de autor”</w:t>
            </w:r>
          </w:p>
          <w:p w14:paraId="1AE64439" w14:textId="1D59D6E7" w:rsidR="00AD356A" w:rsidRPr="00C73B4C" w:rsidRDefault="00310ED4" w:rsidP="006077B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C73B4C">
              <w:rPr>
                <w:rFonts w:ascii="Arial" w:hAnsi="Arial" w:cs="Arial"/>
                <w:sz w:val="24"/>
                <w:szCs w:val="24"/>
              </w:rPr>
              <w:t xml:space="preserve"> “Por el cual se modifica el Estatuto Organizacional de la Universidad Nacional Abierta y a Distancia (UNAD) Artículo 81. Funciones de los Nodos Zonales. Literal i) todo el </w:t>
            </w:r>
            <w:r w:rsidRPr="00C73B4C">
              <w:rPr>
                <w:rFonts w:ascii="Arial" w:hAnsi="Arial" w:cs="Arial"/>
                <w:sz w:val="24"/>
                <w:szCs w:val="24"/>
              </w:rPr>
              <w:lastRenderedPageBreak/>
              <w:t>literal.</w:t>
            </w:r>
          </w:p>
        </w:tc>
      </w:tr>
    </w:tbl>
    <w:p w14:paraId="76CD6669" w14:textId="28AA55A5" w:rsidR="003B1773" w:rsidRPr="00C73B4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40DECF71" w14:textId="77777777" w:rsidR="003B1773" w:rsidRPr="00C73B4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</w:rPr>
      </w:pPr>
    </w:p>
    <w:p w14:paraId="3EC90149" w14:textId="77777777" w:rsidR="003B1773" w:rsidRPr="00C73B4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C73B4C">
        <w:rPr>
          <w:rFonts w:ascii="Arial" w:hAnsi="Arial" w:cs="Arial"/>
          <w:b/>
          <w:bCs/>
        </w:rPr>
        <w:t xml:space="preserve">3. </w:t>
      </w:r>
      <w:r w:rsidRPr="00C73B4C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3"/>
        <w:gridCol w:w="913"/>
        <w:gridCol w:w="454"/>
        <w:gridCol w:w="755"/>
        <w:gridCol w:w="1141"/>
        <w:gridCol w:w="100"/>
        <w:gridCol w:w="426"/>
        <w:gridCol w:w="1567"/>
        <w:gridCol w:w="759"/>
      </w:tblGrid>
      <w:tr w:rsidR="003B1773" w:rsidRPr="00C73B4C" w14:paraId="4566ECC8" w14:textId="77777777" w:rsidTr="006A5591">
        <w:trPr>
          <w:trHeight w:val="309"/>
          <w:jc w:val="center"/>
        </w:trPr>
        <w:tc>
          <w:tcPr>
            <w:tcW w:w="245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0432230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52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836F04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19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F46D5A7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23" w:type="pct"/>
            <w:gridSpan w:val="4"/>
            <w:shd w:val="clear" w:color="auto" w:fill="auto"/>
            <w:vAlign w:val="center"/>
          </w:tcPr>
          <w:p w14:paraId="6B7F4267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261" w:type="pct"/>
            <w:gridSpan w:val="3"/>
            <w:shd w:val="clear" w:color="auto" w:fill="auto"/>
            <w:vAlign w:val="center"/>
          </w:tcPr>
          <w:p w14:paraId="0C23685A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3B1773" w:rsidRPr="00C73B4C" w14:paraId="070EED12" w14:textId="77777777" w:rsidTr="006A5591">
        <w:trPr>
          <w:trHeight w:val="309"/>
          <w:jc w:val="center"/>
        </w:trPr>
        <w:tc>
          <w:tcPr>
            <w:tcW w:w="245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69551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52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B040A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19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A06D5A4" w14:textId="0CEFEFDC" w:rsidR="003B1773" w:rsidRPr="00C73B4C" w:rsidRDefault="00310ED4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23" w:type="pct"/>
            <w:gridSpan w:val="4"/>
            <w:shd w:val="clear" w:color="auto" w:fill="auto"/>
            <w:vAlign w:val="center"/>
          </w:tcPr>
          <w:p w14:paraId="033EBE89" w14:textId="0E3D54CD" w:rsidR="003B1773" w:rsidRPr="00C73B4C" w:rsidRDefault="00310ED4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61" w:type="pct"/>
            <w:gridSpan w:val="3"/>
            <w:shd w:val="clear" w:color="auto" w:fill="auto"/>
            <w:vAlign w:val="center"/>
          </w:tcPr>
          <w:p w14:paraId="19204BF6" w14:textId="01A0F0BE" w:rsidR="003B1773" w:rsidRPr="00C73B4C" w:rsidRDefault="006F73B9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3B1773" w:rsidRPr="00C73B4C" w14:paraId="415D8431" w14:textId="77777777" w:rsidTr="006A5591">
        <w:trPr>
          <w:trHeight w:val="309"/>
          <w:jc w:val="center"/>
        </w:trPr>
        <w:tc>
          <w:tcPr>
            <w:tcW w:w="24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2A987B4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52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CC7FF20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77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933655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D982E34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14:paraId="223133C5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549BCCDB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780EC18D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14:paraId="69242FD0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2C4B267D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5A1060C6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3B1773" w:rsidRPr="00C73B4C" w14:paraId="27BC3758" w14:textId="77777777" w:rsidTr="006A5591">
        <w:trPr>
          <w:trHeight w:val="309"/>
          <w:jc w:val="center"/>
        </w:trPr>
        <w:tc>
          <w:tcPr>
            <w:tcW w:w="24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BA513BC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52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6F2D529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903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E852C5" w14:textId="3CA06F15" w:rsidR="00940C06" w:rsidRPr="00C73B4C" w:rsidRDefault="00310ED4" w:rsidP="003854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Cumplido el tiempo de retención, eliminar ya que las acciones investigativas que surgen de acuerdo con los programas académicos que apoyan la construcción científica se consolidan en la Vicerrectoría Académica y de Investigación en la serie proyectos de investigación, El proceso de eliminación se realizara bajo la técnica de picado por el  Grupo de Gestión Documental y Función Notarial con acompañamiento de las Direcciones Zonales y Centros.</w:t>
            </w:r>
          </w:p>
        </w:tc>
      </w:tr>
    </w:tbl>
    <w:p w14:paraId="7AA3F478" w14:textId="77777777" w:rsidR="003B1773" w:rsidRPr="00C73B4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EE6A710" w14:textId="77777777" w:rsidR="003B1773" w:rsidRPr="00C73B4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1A3FA3C" w14:textId="77777777" w:rsidR="003B1773" w:rsidRPr="00C73B4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C73B4C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3B1773" w:rsidRPr="00C73B4C" w14:paraId="52F7557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AC3BF84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296FE34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A2BCCC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F31C8E2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33F470BA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955554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C73B4C" w14:paraId="0393E422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96FA9D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195C4F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3F72588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679C4A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40E37A1B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B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1D032A0" w14:textId="77777777" w:rsidR="003B1773" w:rsidRPr="00C73B4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5B3315A4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51D2159C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C73B4C" w14:paraId="7D7CF914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A39363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5A2F28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CFE479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6C6FAC" w14:textId="77777777" w:rsidR="003B1773" w:rsidRPr="00C73B4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6104F99E" w14:textId="77777777" w:rsidR="003B1773" w:rsidRPr="00C73B4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16E8FDF7" w14:textId="77777777" w:rsidR="003B1773" w:rsidRPr="00C73B4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C73B4C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3B1773" w:rsidRPr="00C73B4C" w14:paraId="089A20FD" w14:textId="77777777" w:rsidTr="006A559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3639EDD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D22542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C73B4C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EC0574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3B1773" w:rsidRPr="00C73B4C" w14:paraId="2FF28437" w14:textId="77777777" w:rsidTr="006A559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F04854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C73B4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C137DC1" w14:textId="77777777" w:rsidR="003B1773" w:rsidRPr="00C73B4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C73B4C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CC3AA4" w14:textId="77777777" w:rsidR="003B1773" w:rsidRPr="00C73B4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3B4C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</w:tbl>
    <w:p w14:paraId="35B93914" w14:textId="77777777" w:rsidR="003B1773" w:rsidRPr="00C73B4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C73B4C" w:rsidRDefault="008133ED" w:rsidP="003B1773">
      <w:pPr>
        <w:jc w:val="both"/>
        <w:rPr>
          <w:rFonts w:ascii="Arial" w:eastAsia="Arial" w:hAnsi="Arial" w:cs="Arial"/>
          <w:sz w:val="24"/>
          <w:szCs w:val="24"/>
        </w:rPr>
      </w:pPr>
    </w:p>
    <w:p w14:paraId="59988D5F" w14:textId="77777777" w:rsidR="003A2443" w:rsidRPr="00C73B4C" w:rsidRDefault="003A2443">
      <w:pPr>
        <w:jc w:val="both"/>
        <w:rPr>
          <w:rFonts w:ascii="Arial" w:eastAsia="Arial" w:hAnsi="Arial" w:cs="Arial"/>
          <w:sz w:val="24"/>
          <w:szCs w:val="24"/>
        </w:rPr>
      </w:pPr>
    </w:p>
    <w:p w14:paraId="024585D4" w14:textId="77777777" w:rsidR="00412401" w:rsidRPr="00C73B4C" w:rsidRDefault="00412401">
      <w:pPr>
        <w:jc w:val="both"/>
        <w:rPr>
          <w:rFonts w:ascii="Arial" w:eastAsia="Arial" w:hAnsi="Arial" w:cs="Arial"/>
          <w:sz w:val="24"/>
          <w:szCs w:val="24"/>
        </w:rPr>
      </w:pPr>
    </w:p>
    <w:sectPr w:rsidR="00412401" w:rsidRPr="00C73B4C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0F126" w14:textId="77777777" w:rsidR="004A7588" w:rsidRDefault="004A7588">
      <w:r>
        <w:separator/>
      </w:r>
    </w:p>
  </w:endnote>
  <w:endnote w:type="continuationSeparator" w:id="0">
    <w:p w14:paraId="3E22FA0B" w14:textId="77777777" w:rsidR="004A7588" w:rsidRDefault="004A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DA895" w14:textId="77777777" w:rsidR="004A7588" w:rsidRDefault="004A7588">
      <w:r>
        <w:separator/>
      </w:r>
    </w:p>
  </w:footnote>
  <w:footnote w:type="continuationSeparator" w:id="0">
    <w:p w14:paraId="55B577DA" w14:textId="77777777" w:rsidR="004A7588" w:rsidRDefault="004A7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4A7588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71563442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0250A5" w:rsidRPr="000250A5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0250A5" w:rsidRPr="000250A5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11C9"/>
    <w:rsid w:val="0000211C"/>
    <w:rsid w:val="000026A0"/>
    <w:rsid w:val="000204DA"/>
    <w:rsid w:val="000250A5"/>
    <w:rsid w:val="000311CA"/>
    <w:rsid w:val="00043467"/>
    <w:rsid w:val="0004448C"/>
    <w:rsid w:val="0005165C"/>
    <w:rsid w:val="0005687E"/>
    <w:rsid w:val="00063AB1"/>
    <w:rsid w:val="00065729"/>
    <w:rsid w:val="0007039A"/>
    <w:rsid w:val="00076CEC"/>
    <w:rsid w:val="00092359"/>
    <w:rsid w:val="000960C8"/>
    <w:rsid w:val="000B0256"/>
    <w:rsid w:val="000B2634"/>
    <w:rsid w:val="000B2F49"/>
    <w:rsid w:val="000C1009"/>
    <w:rsid w:val="000C5B32"/>
    <w:rsid w:val="000E31F1"/>
    <w:rsid w:val="000F0BC2"/>
    <w:rsid w:val="00107188"/>
    <w:rsid w:val="00114C94"/>
    <w:rsid w:val="00125D36"/>
    <w:rsid w:val="00127E44"/>
    <w:rsid w:val="00131BB9"/>
    <w:rsid w:val="00134DB7"/>
    <w:rsid w:val="00142965"/>
    <w:rsid w:val="00143EB0"/>
    <w:rsid w:val="00153610"/>
    <w:rsid w:val="00165585"/>
    <w:rsid w:val="00171786"/>
    <w:rsid w:val="00174FAE"/>
    <w:rsid w:val="001965A8"/>
    <w:rsid w:val="001A1B6E"/>
    <w:rsid w:val="001B44A3"/>
    <w:rsid w:val="001C58BE"/>
    <w:rsid w:val="001C68ED"/>
    <w:rsid w:val="001E6548"/>
    <w:rsid w:val="001E7EA9"/>
    <w:rsid w:val="001F4AAF"/>
    <w:rsid w:val="001F5641"/>
    <w:rsid w:val="0020623C"/>
    <w:rsid w:val="00206D87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9374B"/>
    <w:rsid w:val="002A5405"/>
    <w:rsid w:val="002C21B6"/>
    <w:rsid w:val="002D7EBF"/>
    <w:rsid w:val="002F14DF"/>
    <w:rsid w:val="002F7BBD"/>
    <w:rsid w:val="00310ED4"/>
    <w:rsid w:val="00317481"/>
    <w:rsid w:val="00324742"/>
    <w:rsid w:val="003304EE"/>
    <w:rsid w:val="00341799"/>
    <w:rsid w:val="00343FDE"/>
    <w:rsid w:val="00347BDC"/>
    <w:rsid w:val="003508C4"/>
    <w:rsid w:val="00351EBE"/>
    <w:rsid w:val="00365D16"/>
    <w:rsid w:val="00367DAC"/>
    <w:rsid w:val="00372EC1"/>
    <w:rsid w:val="00376CEB"/>
    <w:rsid w:val="00381D79"/>
    <w:rsid w:val="0038549D"/>
    <w:rsid w:val="003926A0"/>
    <w:rsid w:val="003A2443"/>
    <w:rsid w:val="003A3A72"/>
    <w:rsid w:val="003A7597"/>
    <w:rsid w:val="003B00D1"/>
    <w:rsid w:val="003B1773"/>
    <w:rsid w:val="003B565E"/>
    <w:rsid w:val="003B6A9A"/>
    <w:rsid w:val="003D2322"/>
    <w:rsid w:val="003D50E8"/>
    <w:rsid w:val="003E01FD"/>
    <w:rsid w:val="003E1F06"/>
    <w:rsid w:val="003E247F"/>
    <w:rsid w:val="003E759C"/>
    <w:rsid w:val="003F6424"/>
    <w:rsid w:val="0040005C"/>
    <w:rsid w:val="00405651"/>
    <w:rsid w:val="00405DED"/>
    <w:rsid w:val="00406E4D"/>
    <w:rsid w:val="00407397"/>
    <w:rsid w:val="0040793D"/>
    <w:rsid w:val="00407D62"/>
    <w:rsid w:val="00412401"/>
    <w:rsid w:val="00417E0E"/>
    <w:rsid w:val="004235E3"/>
    <w:rsid w:val="00426817"/>
    <w:rsid w:val="00426C06"/>
    <w:rsid w:val="00437990"/>
    <w:rsid w:val="004532C5"/>
    <w:rsid w:val="004563A5"/>
    <w:rsid w:val="00460B26"/>
    <w:rsid w:val="00461430"/>
    <w:rsid w:val="0047349E"/>
    <w:rsid w:val="00474C6A"/>
    <w:rsid w:val="00475B76"/>
    <w:rsid w:val="004872F5"/>
    <w:rsid w:val="0049201A"/>
    <w:rsid w:val="004974AA"/>
    <w:rsid w:val="004A7588"/>
    <w:rsid w:val="004B626A"/>
    <w:rsid w:val="004C080A"/>
    <w:rsid w:val="004D1441"/>
    <w:rsid w:val="004D2E23"/>
    <w:rsid w:val="004E4A7A"/>
    <w:rsid w:val="004E662C"/>
    <w:rsid w:val="004E6786"/>
    <w:rsid w:val="004E6E1F"/>
    <w:rsid w:val="004E7264"/>
    <w:rsid w:val="00514733"/>
    <w:rsid w:val="005210D0"/>
    <w:rsid w:val="00536316"/>
    <w:rsid w:val="005507EC"/>
    <w:rsid w:val="00552FE8"/>
    <w:rsid w:val="00561B37"/>
    <w:rsid w:val="0056259B"/>
    <w:rsid w:val="00567215"/>
    <w:rsid w:val="005744A6"/>
    <w:rsid w:val="005B1710"/>
    <w:rsid w:val="005B216F"/>
    <w:rsid w:val="005B51E3"/>
    <w:rsid w:val="005B5A89"/>
    <w:rsid w:val="005B5C8E"/>
    <w:rsid w:val="005C5E9B"/>
    <w:rsid w:val="005C73B6"/>
    <w:rsid w:val="005D1C5E"/>
    <w:rsid w:val="005D7A98"/>
    <w:rsid w:val="00603DFB"/>
    <w:rsid w:val="006050BD"/>
    <w:rsid w:val="006077B6"/>
    <w:rsid w:val="00607945"/>
    <w:rsid w:val="00610D66"/>
    <w:rsid w:val="006376CD"/>
    <w:rsid w:val="00646E2F"/>
    <w:rsid w:val="00652390"/>
    <w:rsid w:val="006609A5"/>
    <w:rsid w:val="00662B67"/>
    <w:rsid w:val="00672D07"/>
    <w:rsid w:val="006757E9"/>
    <w:rsid w:val="00682219"/>
    <w:rsid w:val="00690022"/>
    <w:rsid w:val="006A36CF"/>
    <w:rsid w:val="006A5591"/>
    <w:rsid w:val="006B3E8D"/>
    <w:rsid w:val="006B6801"/>
    <w:rsid w:val="006C4B16"/>
    <w:rsid w:val="006C641B"/>
    <w:rsid w:val="006C64A7"/>
    <w:rsid w:val="006D7375"/>
    <w:rsid w:val="006E1A97"/>
    <w:rsid w:val="006E52EC"/>
    <w:rsid w:val="006E59DD"/>
    <w:rsid w:val="006F0B31"/>
    <w:rsid w:val="006F3093"/>
    <w:rsid w:val="006F4A9C"/>
    <w:rsid w:val="006F73B9"/>
    <w:rsid w:val="00703413"/>
    <w:rsid w:val="0070622D"/>
    <w:rsid w:val="00710455"/>
    <w:rsid w:val="0072205E"/>
    <w:rsid w:val="00726D1D"/>
    <w:rsid w:val="00730980"/>
    <w:rsid w:val="00757AB8"/>
    <w:rsid w:val="0076090C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B7EE8"/>
    <w:rsid w:val="007C2F82"/>
    <w:rsid w:val="007D2498"/>
    <w:rsid w:val="007D4772"/>
    <w:rsid w:val="007D540A"/>
    <w:rsid w:val="007E7895"/>
    <w:rsid w:val="007F68D9"/>
    <w:rsid w:val="00812B02"/>
    <w:rsid w:val="008133ED"/>
    <w:rsid w:val="00816156"/>
    <w:rsid w:val="00827905"/>
    <w:rsid w:val="00842367"/>
    <w:rsid w:val="00845E87"/>
    <w:rsid w:val="00854A44"/>
    <w:rsid w:val="00865B5B"/>
    <w:rsid w:val="00871B8E"/>
    <w:rsid w:val="00872E9D"/>
    <w:rsid w:val="0087321D"/>
    <w:rsid w:val="008900F4"/>
    <w:rsid w:val="00892925"/>
    <w:rsid w:val="00896FD7"/>
    <w:rsid w:val="008A1446"/>
    <w:rsid w:val="008A6952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40C06"/>
    <w:rsid w:val="00946DE1"/>
    <w:rsid w:val="00954479"/>
    <w:rsid w:val="00970012"/>
    <w:rsid w:val="00975602"/>
    <w:rsid w:val="00983761"/>
    <w:rsid w:val="0098658A"/>
    <w:rsid w:val="00992F4F"/>
    <w:rsid w:val="009A1235"/>
    <w:rsid w:val="009A7441"/>
    <w:rsid w:val="009A7DC8"/>
    <w:rsid w:val="009B0437"/>
    <w:rsid w:val="009B1C02"/>
    <w:rsid w:val="009D32AC"/>
    <w:rsid w:val="009E3163"/>
    <w:rsid w:val="009E7E59"/>
    <w:rsid w:val="009F16F8"/>
    <w:rsid w:val="009F559F"/>
    <w:rsid w:val="00A146C3"/>
    <w:rsid w:val="00A22466"/>
    <w:rsid w:val="00A4070F"/>
    <w:rsid w:val="00A54FBD"/>
    <w:rsid w:val="00A56366"/>
    <w:rsid w:val="00A603D1"/>
    <w:rsid w:val="00A74B54"/>
    <w:rsid w:val="00A75622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D356A"/>
    <w:rsid w:val="00AE0906"/>
    <w:rsid w:val="00AE5421"/>
    <w:rsid w:val="00AF2845"/>
    <w:rsid w:val="00AF4334"/>
    <w:rsid w:val="00AF4883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43CD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914D5"/>
    <w:rsid w:val="00B97214"/>
    <w:rsid w:val="00BB531C"/>
    <w:rsid w:val="00BD260B"/>
    <w:rsid w:val="00BD4F90"/>
    <w:rsid w:val="00BE0504"/>
    <w:rsid w:val="00C0167D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65823"/>
    <w:rsid w:val="00C73B4C"/>
    <w:rsid w:val="00C74B6E"/>
    <w:rsid w:val="00C761AD"/>
    <w:rsid w:val="00C76E1D"/>
    <w:rsid w:val="00C8041E"/>
    <w:rsid w:val="00C90FCE"/>
    <w:rsid w:val="00C93CCD"/>
    <w:rsid w:val="00C9539B"/>
    <w:rsid w:val="00CA0DBE"/>
    <w:rsid w:val="00CA3C92"/>
    <w:rsid w:val="00CB5638"/>
    <w:rsid w:val="00CC1DDA"/>
    <w:rsid w:val="00CC3A71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61136"/>
    <w:rsid w:val="00D7209E"/>
    <w:rsid w:val="00D74876"/>
    <w:rsid w:val="00D84AD3"/>
    <w:rsid w:val="00D86401"/>
    <w:rsid w:val="00D87E1D"/>
    <w:rsid w:val="00D94E64"/>
    <w:rsid w:val="00DA7D5E"/>
    <w:rsid w:val="00DB197B"/>
    <w:rsid w:val="00DC550A"/>
    <w:rsid w:val="00DD2AEF"/>
    <w:rsid w:val="00DD5F39"/>
    <w:rsid w:val="00DE003A"/>
    <w:rsid w:val="00DE2CF0"/>
    <w:rsid w:val="00DF4D56"/>
    <w:rsid w:val="00E03A8F"/>
    <w:rsid w:val="00E166E6"/>
    <w:rsid w:val="00E167A9"/>
    <w:rsid w:val="00E16E10"/>
    <w:rsid w:val="00E31559"/>
    <w:rsid w:val="00E401FA"/>
    <w:rsid w:val="00E66C08"/>
    <w:rsid w:val="00E71461"/>
    <w:rsid w:val="00E77E89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1FE8"/>
    <w:rsid w:val="00F53282"/>
    <w:rsid w:val="00F563A3"/>
    <w:rsid w:val="00F5796B"/>
    <w:rsid w:val="00F7047A"/>
    <w:rsid w:val="00F74D9F"/>
    <w:rsid w:val="00F92A5C"/>
    <w:rsid w:val="00F93A03"/>
    <w:rsid w:val="00F94C05"/>
    <w:rsid w:val="00FA451F"/>
    <w:rsid w:val="00FB0C7A"/>
    <w:rsid w:val="00FB4FEE"/>
    <w:rsid w:val="00FB5790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E7D82C84-62F6-4522-A6B9-B4D9C4AF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37BC0-67C4-49B9-80CE-3F68A86AD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50</cp:revision>
  <cp:lastPrinted>2013-08-23T16:35:00Z</cp:lastPrinted>
  <dcterms:created xsi:type="dcterms:W3CDTF">2020-12-04T13:06:00Z</dcterms:created>
  <dcterms:modified xsi:type="dcterms:W3CDTF">2020-12-15T19:01:00Z</dcterms:modified>
</cp:coreProperties>
</file>