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91061" w14:textId="77777777" w:rsidR="00824D3F" w:rsidRPr="00B74C11" w:rsidRDefault="00824D3F" w:rsidP="00824D3F">
      <w:pPr>
        <w:rPr>
          <w:rFonts w:ascii="Arial" w:hAnsi="Arial" w:cs="Arial"/>
          <w:sz w:val="24"/>
          <w:szCs w:val="24"/>
        </w:rPr>
      </w:pPr>
    </w:p>
    <w:p w14:paraId="30165565"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r w:rsidRPr="00B74C11">
        <w:rPr>
          <w:rFonts w:ascii="Arial" w:hAnsi="Arial" w:cs="Arial"/>
          <w:b/>
          <w:bCs/>
        </w:rPr>
        <w:t>1.</w:t>
      </w:r>
      <w:r w:rsidRPr="00B74C11">
        <w:rPr>
          <w:rFonts w:ascii="Arial" w:hAnsi="Arial" w:cs="Arial"/>
        </w:rPr>
        <w:t xml:space="preserve"> </w:t>
      </w:r>
      <w:r w:rsidRPr="00B74C11">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824D3F" w:rsidRPr="00B74C11" w14:paraId="79425D06" w14:textId="77777777" w:rsidTr="004933AC">
        <w:trPr>
          <w:trHeight w:val="309"/>
          <w:jc w:val="center"/>
        </w:trPr>
        <w:tc>
          <w:tcPr>
            <w:tcW w:w="351" w:type="pct"/>
            <w:shd w:val="clear" w:color="auto" w:fill="auto"/>
            <w:tcMar>
              <w:top w:w="15" w:type="dxa"/>
              <w:left w:w="56" w:type="dxa"/>
              <w:bottom w:w="0" w:type="dxa"/>
              <w:right w:w="56" w:type="dxa"/>
            </w:tcMar>
            <w:vAlign w:val="center"/>
            <w:hideMark/>
          </w:tcPr>
          <w:p w14:paraId="63D6DCB4"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4DDDD80"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0E8757DC" w14:textId="77777777" w:rsidR="00824D3F" w:rsidRPr="00B74C11" w:rsidRDefault="00824D3F" w:rsidP="004933AC">
            <w:pPr>
              <w:rPr>
                <w:rFonts w:ascii="Arial" w:hAnsi="Arial" w:cs="Arial"/>
                <w:sz w:val="24"/>
                <w:szCs w:val="24"/>
              </w:rPr>
            </w:pPr>
            <w:r w:rsidRPr="00B74C11">
              <w:rPr>
                <w:rFonts w:ascii="Arial" w:hAnsi="Arial" w:cs="Arial"/>
                <w:sz w:val="24"/>
                <w:szCs w:val="24"/>
              </w:rPr>
              <w:t>ACTAS/ Actas del Comité de Ética y Bioética</w:t>
            </w:r>
          </w:p>
        </w:tc>
      </w:tr>
      <w:tr w:rsidR="00824D3F" w:rsidRPr="00B74C11" w14:paraId="2B40FA6A" w14:textId="77777777" w:rsidTr="004933AC">
        <w:trPr>
          <w:trHeight w:val="809"/>
          <w:jc w:val="center"/>
        </w:trPr>
        <w:tc>
          <w:tcPr>
            <w:tcW w:w="351" w:type="pct"/>
            <w:shd w:val="clear" w:color="auto" w:fill="auto"/>
            <w:tcMar>
              <w:top w:w="15" w:type="dxa"/>
              <w:left w:w="56" w:type="dxa"/>
              <w:bottom w:w="0" w:type="dxa"/>
              <w:right w:w="56" w:type="dxa"/>
            </w:tcMar>
            <w:vAlign w:val="center"/>
            <w:hideMark/>
          </w:tcPr>
          <w:p w14:paraId="01F7A1AD"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4020BF1"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2D90E8D5" w14:textId="7DFFF20D" w:rsidR="00824D3F" w:rsidRPr="006330FE" w:rsidRDefault="006330FE" w:rsidP="006330FE">
            <w:pPr>
              <w:jc w:val="both"/>
            </w:pPr>
            <w:r w:rsidRPr="006330FE">
              <w:rPr>
                <w:rFonts w:ascii="Arial" w:eastAsia="Arial" w:hAnsi="Arial" w:cs="Arial"/>
                <w:sz w:val="24"/>
                <w:szCs w:val="24"/>
              </w:rPr>
              <w:t>La producción documental de esta subserie hace referencia a las diferentes orientaciones para los investigadores  sobre la dimensión científica, sino también  la dimensión ética y reglamentaria, de todas las propuestas de investigación con el fin de respetar la dignidad de los seres humanos y proteger a los animales y el medio ambiente.</w:t>
            </w:r>
            <w:r>
              <w:t xml:space="preserve"> </w:t>
            </w:r>
          </w:p>
        </w:tc>
      </w:tr>
      <w:tr w:rsidR="00824D3F" w:rsidRPr="00B74C11" w14:paraId="2014378B" w14:textId="77777777" w:rsidTr="004933AC">
        <w:trPr>
          <w:trHeight w:val="309"/>
          <w:jc w:val="center"/>
        </w:trPr>
        <w:tc>
          <w:tcPr>
            <w:tcW w:w="351" w:type="pct"/>
            <w:shd w:val="clear" w:color="auto" w:fill="auto"/>
            <w:tcMar>
              <w:top w:w="15" w:type="dxa"/>
              <w:left w:w="56" w:type="dxa"/>
              <w:bottom w:w="0" w:type="dxa"/>
              <w:right w:w="56" w:type="dxa"/>
            </w:tcMar>
            <w:vAlign w:val="center"/>
          </w:tcPr>
          <w:p w14:paraId="76D36F79"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2868734A"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4A1B9AF3" w14:textId="77777777" w:rsidR="00824D3F" w:rsidRPr="00B74C11" w:rsidRDefault="00824D3F" w:rsidP="004933AC">
            <w:pPr>
              <w:rPr>
                <w:rFonts w:ascii="Arial" w:hAnsi="Arial" w:cs="Arial"/>
                <w:sz w:val="24"/>
                <w:szCs w:val="24"/>
              </w:rPr>
            </w:pPr>
            <w:r w:rsidRPr="00B74C11">
              <w:rPr>
                <w:rFonts w:ascii="Arial" w:hAnsi="Arial" w:cs="Arial"/>
                <w:sz w:val="24"/>
                <w:szCs w:val="24"/>
              </w:rPr>
              <w:t>SISTEMA DE GESTIÓN DE LA INVESTIGACIÓN 102.1</w:t>
            </w:r>
          </w:p>
        </w:tc>
      </w:tr>
      <w:tr w:rsidR="00824D3F" w:rsidRPr="00B74C11" w14:paraId="2AE82DB4" w14:textId="77777777" w:rsidTr="004933AC">
        <w:trPr>
          <w:trHeight w:val="309"/>
          <w:jc w:val="center"/>
        </w:trPr>
        <w:tc>
          <w:tcPr>
            <w:tcW w:w="351" w:type="pct"/>
            <w:shd w:val="clear" w:color="auto" w:fill="auto"/>
            <w:tcMar>
              <w:top w:w="15" w:type="dxa"/>
              <w:left w:w="56" w:type="dxa"/>
              <w:bottom w:w="0" w:type="dxa"/>
              <w:right w:w="56" w:type="dxa"/>
            </w:tcMar>
            <w:vAlign w:val="center"/>
          </w:tcPr>
          <w:p w14:paraId="42A38C1D"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17430C5B"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023DAE0B" w14:textId="77777777" w:rsidR="00824D3F" w:rsidRPr="00B74C11" w:rsidRDefault="00824D3F" w:rsidP="004933AC">
            <w:pPr>
              <w:rPr>
                <w:rFonts w:ascii="Arial" w:hAnsi="Arial" w:cs="Arial"/>
                <w:b/>
                <w:bCs/>
                <w:sz w:val="24"/>
                <w:szCs w:val="24"/>
              </w:rPr>
            </w:pPr>
            <w:r w:rsidRPr="00B74C11">
              <w:rPr>
                <w:rFonts w:ascii="Arial" w:hAnsi="Arial" w:cs="Arial"/>
                <w:b/>
                <w:bCs/>
                <w:sz w:val="24"/>
                <w:szCs w:val="24"/>
              </w:rPr>
              <w:t xml:space="preserve">Desde: </w:t>
            </w:r>
          </w:p>
        </w:tc>
        <w:tc>
          <w:tcPr>
            <w:tcW w:w="854" w:type="pct"/>
            <w:shd w:val="clear" w:color="auto" w:fill="auto"/>
            <w:vAlign w:val="center"/>
          </w:tcPr>
          <w:p w14:paraId="134A8B34" w14:textId="77777777" w:rsidR="00824D3F" w:rsidRPr="00B74C11" w:rsidRDefault="00824D3F" w:rsidP="004933AC">
            <w:pPr>
              <w:rPr>
                <w:rFonts w:ascii="Arial" w:hAnsi="Arial" w:cs="Arial"/>
                <w:sz w:val="24"/>
                <w:szCs w:val="24"/>
              </w:rPr>
            </w:pPr>
          </w:p>
        </w:tc>
        <w:tc>
          <w:tcPr>
            <w:tcW w:w="854" w:type="pct"/>
            <w:shd w:val="clear" w:color="auto" w:fill="auto"/>
            <w:vAlign w:val="center"/>
          </w:tcPr>
          <w:p w14:paraId="2DCB0E01" w14:textId="77777777" w:rsidR="00824D3F" w:rsidRPr="00B74C11" w:rsidRDefault="00824D3F" w:rsidP="004933AC">
            <w:pPr>
              <w:rPr>
                <w:rFonts w:ascii="Arial" w:hAnsi="Arial" w:cs="Arial"/>
                <w:b/>
                <w:bCs/>
                <w:sz w:val="24"/>
                <w:szCs w:val="24"/>
              </w:rPr>
            </w:pPr>
            <w:r w:rsidRPr="00B74C11">
              <w:rPr>
                <w:rFonts w:ascii="Arial" w:hAnsi="Arial" w:cs="Arial"/>
                <w:b/>
                <w:bCs/>
                <w:sz w:val="24"/>
                <w:szCs w:val="24"/>
              </w:rPr>
              <w:t>Hasta:</w:t>
            </w:r>
          </w:p>
        </w:tc>
        <w:tc>
          <w:tcPr>
            <w:tcW w:w="853" w:type="pct"/>
            <w:shd w:val="clear" w:color="auto" w:fill="auto"/>
            <w:vAlign w:val="center"/>
          </w:tcPr>
          <w:p w14:paraId="61E50B1C" w14:textId="77777777" w:rsidR="00824D3F" w:rsidRPr="00B74C11" w:rsidRDefault="00824D3F" w:rsidP="004933AC">
            <w:pPr>
              <w:rPr>
                <w:rFonts w:ascii="Arial" w:hAnsi="Arial" w:cs="Arial"/>
                <w:sz w:val="24"/>
                <w:szCs w:val="24"/>
              </w:rPr>
            </w:pPr>
          </w:p>
        </w:tc>
      </w:tr>
    </w:tbl>
    <w:p w14:paraId="282E27E3" w14:textId="77777777" w:rsidR="00824D3F" w:rsidRPr="00B74C11" w:rsidRDefault="00824D3F" w:rsidP="00824D3F">
      <w:pPr>
        <w:pStyle w:val="NormalWeb"/>
        <w:spacing w:before="0" w:beforeAutospacing="0" w:after="0" w:afterAutospacing="0" w:line="276" w:lineRule="auto"/>
        <w:rPr>
          <w:rFonts w:ascii="Arial" w:hAnsi="Arial" w:cs="Arial"/>
        </w:rPr>
      </w:pPr>
    </w:p>
    <w:p w14:paraId="0DBCEC9C" w14:textId="77777777" w:rsidR="00824D3F" w:rsidRPr="00B74C11" w:rsidRDefault="00824D3F" w:rsidP="00824D3F">
      <w:pPr>
        <w:pStyle w:val="NormalWeb"/>
        <w:spacing w:before="0" w:beforeAutospacing="0" w:after="0" w:afterAutospacing="0" w:line="276" w:lineRule="auto"/>
        <w:rPr>
          <w:rFonts w:ascii="Arial" w:hAnsi="Arial" w:cs="Arial"/>
        </w:rPr>
      </w:pPr>
    </w:p>
    <w:p w14:paraId="23CDD88B" w14:textId="77777777" w:rsidR="00824D3F" w:rsidRPr="00B74C11" w:rsidRDefault="00824D3F" w:rsidP="00824D3F">
      <w:pPr>
        <w:pStyle w:val="NormalWeb"/>
        <w:spacing w:before="0" w:beforeAutospacing="0" w:after="0" w:afterAutospacing="0" w:line="276" w:lineRule="auto"/>
        <w:rPr>
          <w:rFonts w:ascii="Arial" w:hAnsi="Arial" w:cs="Arial"/>
        </w:rPr>
      </w:pPr>
      <w:r w:rsidRPr="00B74C11">
        <w:rPr>
          <w:rFonts w:ascii="Arial" w:hAnsi="Arial" w:cs="Arial"/>
          <w:b/>
          <w:bCs/>
        </w:rPr>
        <w:t xml:space="preserve">2. </w:t>
      </w:r>
      <w:r w:rsidRPr="00B74C11">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824D3F" w:rsidRPr="00B74C11" w14:paraId="3838C10D" w14:textId="77777777" w:rsidTr="004933AC">
        <w:trPr>
          <w:trHeight w:val="309"/>
          <w:jc w:val="center"/>
        </w:trPr>
        <w:tc>
          <w:tcPr>
            <w:tcW w:w="351" w:type="pct"/>
            <w:shd w:val="clear" w:color="auto" w:fill="auto"/>
            <w:tcMar>
              <w:top w:w="15" w:type="dxa"/>
              <w:left w:w="56" w:type="dxa"/>
              <w:bottom w:w="0" w:type="dxa"/>
              <w:right w:w="56" w:type="dxa"/>
            </w:tcMar>
            <w:vAlign w:val="center"/>
            <w:hideMark/>
          </w:tcPr>
          <w:p w14:paraId="2AF904FE"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2E415C77"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C85130E" w14:textId="5FD5AD63" w:rsidR="00824D3F" w:rsidRPr="00B74C11" w:rsidRDefault="006330FE" w:rsidP="000C4C0F">
            <w:pPr>
              <w:jc w:val="both"/>
              <w:rPr>
                <w:rFonts w:ascii="Arial" w:hAnsi="Arial" w:cs="Arial"/>
                <w:sz w:val="24"/>
                <w:szCs w:val="24"/>
                <w:lang w:val="es-CO"/>
              </w:rPr>
            </w:pPr>
            <w:r>
              <w:rPr>
                <w:rFonts w:ascii="Arial" w:hAnsi="Arial" w:cs="Arial"/>
                <w:sz w:val="24"/>
                <w:szCs w:val="24"/>
                <w:lang w:val="es-CO"/>
              </w:rPr>
              <w:t>D</w:t>
            </w:r>
            <w:r w:rsidR="000C4C0F">
              <w:rPr>
                <w:rFonts w:ascii="Arial" w:hAnsi="Arial" w:cs="Arial"/>
                <w:sz w:val="24"/>
                <w:szCs w:val="24"/>
                <w:lang w:val="es-CO"/>
              </w:rPr>
              <w:t xml:space="preserve">entro del contenido se encontraran decisiones sobre todos los protocolos de investigación en los  </w:t>
            </w:r>
            <w:r w:rsidR="000C4C0F" w:rsidRPr="000C4C0F">
              <w:rPr>
                <w:rFonts w:ascii="Arial" w:hAnsi="Arial" w:cs="Arial"/>
                <w:sz w:val="24"/>
                <w:szCs w:val="24"/>
                <w:lang w:val="es-CO"/>
              </w:rPr>
              <w:t>tres ejes normativos de protección: obtención del consentimiento, minimización de los riesgos y maximización y distribución de los beneficios e impacto. En segundo lugar se deben considerar aspectos relacionados con la idoneidad de los investigadores, el nivel de formación y su experiencia en procesos investigativos. En tercer lugar el aspecto relacionado con la reserva y confidencialidad de la información, protección al medio ambiente y los conflictos de interés.</w:t>
            </w:r>
          </w:p>
        </w:tc>
      </w:tr>
      <w:tr w:rsidR="00824D3F" w:rsidRPr="00B74C11" w14:paraId="39F8258D" w14:textId="77777777" w:rsidTr="004933AC">
        <w:trPr>
          <w:trHeight w:val="309"/>
          <w:jc w:val="center"/>
        </w:trPr>
        <w:tc>
          <w:tcPr>
            <w:tcW w:w="351" w:type="pct"/>
            <w:shd w:val="clear" w:color="auto" w:fill="auto"/>
            <w:tcMar>
              <w:top w:w="15" w:type="dxa"/>
              <w:left w:w="56" w:type="dxa"/>
              <w:bottom w:w="0" w:type="dxa"/>
              <w:right w:w="56" w:type="dxa"/>
            </w:tcMar>
            <w:vAlign w:val="center"/>
            <w:hideMark/>
          </w:tcPr>
          <w:p w14:paraId="7452D5B4"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28DD4D42"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CE9A1FC" w14:textId="77777777" w:rsidR="00824D3F" w:rsidRPr="00B74C11" w:rsidRDefault="00824D3F" w:rsidP="004933AC">
            <w:pPr>
              <w:rPr>
                <w:rFonts w:ascii="Arial" w:hAnsi="Arial" w:cs="Arial"/>
                <w:sz w:val="24"/>
                <w:szCs w:val="24"/>
              </w:rPr>
            </w:pPr>
            <w:r w:rsidRPr="00B74C11">
              <w:rPr>
                <w:rFonts w:ascii="Arial" w:hAnsi="Arial" w:cs="Arial"/>
                <w:sz w:val="24"/>
                <w:szCs w:val="24"/>
              </w:rPr>
              <w:t xml:space="preserve">Acta, Convocatoria </w:t>
            </w:r>
          </w:p>
        </w:tc>
      </w:tr>
      <w:tr w:rsidR="00824D3F" w:rsidRPr="00B74C11" w14:paraId="6802C83E" w14:textId="77777777" w:rsidTr="004933AC">
        <w:trPr>
          <w:trHeight w:val="309"/>
          <w:jc w:val="center"/>
        </w:trPr>
        <w:tc>
          <w:tcPr>
            <w:tcW w:w="351" w:type="pct"/>
            <w:shd w:val="clear" w:color="auto" w:fill="auto"/>
            <w:tcMar>
              <w:top w:w="15" w:type="dxa"/>
              <w:left w:w="56" w:type="dxa"/>
              <w:bottom w:w="0" w:type="dxa"/>
              <w:right w:w="56" w:type="dxa"/>
            </w:tcMar>
            <w:vAlign w:val="center"/>
          </w:tcPr>
          <w:p w14:paraId="7FC5665D"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t>2.3</w:t>
            </w:r>
          </w:p>
        </w:tc>
        <w:tc>
          <w:tcPr>
            <w:tcW w:w="1039" w:type="pct"/>
            <w:shd w:val="clear" w:color="auto" w:fill="auto"/>
            <w:tcMar>
              <w:top w:w="15" w:type="dxa"/>
              <w:left w:w="56" w:type="dxa"/>
              <w:bottom w:w="0" w:type="dxa"/>
              <w:right w:w="56" w:type="dxa"/>
            </w:tcMar>
            <w:vAlign w:val="center"/>
          </w:tcPr>
          <w:p w14:paraId="52F4FD50"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1BA6C5E6" w14:textId="77777777" w:rsidR="00824D3F" w:rsidRPr="00B74C11" w:rsidRDefault="00824D3F" w:rsidP="004933AC">
            <w:pPr>
              <w:rPr>
                <w:rFonts w:ascii="Arial" w:hAnsi="Arial" w:cs="Arial"/>
                <w:sz w:val="24"/>
                <w:szCs w:val="24"/>
              </w:rPr>
            </w:pPr>
            <w:r w:rsidRPr="00B74C11">
              <w:rPr>
                <w:rFonts w:ascii="Arial" w:eastAsia="Arial" w:hAnsi="Arial" w:cs="Arial"/>
                <w:sz w:val="24"/>
                <w:szCs w:val="24"/>
              </w:rPr>
              <w:t>Papel-PDF</w:t>
            </w:r>
            <w:r w:rsidRPr="00B74C11">
              <w:rPr>
                <w:rFonts w:ascii="Arial" w:hAnsi="Arial" w:cs="Arial"/>
                <w:sz w:val="24"/>
                <w:szCs w:val="24"/>
              </w:rPr>
              <w:t xml:space="preserve"> </w:t>
            </w:r>
          </w:p>
        </w:tc>
      </w:tr>
      <w:tr w:rsidR="00824D3F" w:rsidRPr="00B74C11" w14:paraId="21A02A61" w14:textId="77777777" w:rsidTr="004933AC">
        <w:trPr>
          <w:trHeight w:val="309"/>
          <w:jc w:val="center"/>
        </w:trPr>
        <w:tc>
          <w:tcPr>
            <w:tcW w:w="351" w:type="pct"/>
            <w:shd w:val="clear" w:color="auto" w:fill="auto"/>
            <w:tcMar>
              <w:top w:w="15" w:type="dxa"/>
              <w:left w:w="56" w:type="dxa"/>
              <w:bottom w:w="0" w:type="dxa"/>
              <w:right w:w="56" w:type="dxa"/>
            </w:tcMar>
            <w:vAlign w:val="center"/>
          </w:tcPr>
          <w:p w14:paraId="4DC8DB7F"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t>2.4</w:t>
            </w:r>
          </w:p>
        </w:tc>
        <w:tc>
          <w:tcPr>
            <w:tcW w:w="1039" w:type="pct"/>
            <w:shd w:val="clear" w:color="auto" w:fill="auto"/>
            <w:tcMar>
              <w:top w:w="15" w:type="dxa"/>
              <w:left w:w="56" w:type="dxa"/>
              <w:bottom w:w="0" w:type="dxa"/>
              <w:right w:w="56" w:type="dxa"/>
            </w:tcMar>
            <w:vAlign w:val="center"/>
          </w:tcPr>
          <w:p w14:paraId="2D998356"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755038CE" w14:textId="70F31BD9" w:rsidR="00824D3F" w:rsidRPr="00B74C11" w:rsidRDefault="00824D3F" w:rsidP="00824D3F">
            <w:pPr>
              <w:jc w:val="both"/>
              <w:rPr>
                <w:rFonts w:ascii="Arial" w:hAnsi="Arial" w:cs="Arial"/>
                <w:sz w:val="24"/>
                <w:szCs w:val="24"/>
              </w:rPr>
            </w:pPr>
            <w:r w:rsidRPr="00B74C11">
              <w:rPr>
                <w:rFonts w:ascii="Arial" w:eastAsia="Arial" w:hAnsi="Arial" w:cs="Arial"/>
                <w:sz w:val="24"/>
                <w:szCs w:val="24"/>
              </w:rPr>
              <w:t xml:space="preserve">Papel industrial tipo bond de 75g/m2. Según el Acuerdo 006 de 2014 sobre “Conservación de Documentos” que establece que </w:t>
            </w:r>
            <w:r w:rsidR="00B74C11" w:rsidRPr="00B74C11">
              <w:rPr>
                <w:rFonts w:ascii="Arial" w:eastAsia="Arial" w:hAnsi="Arial" w:cs="Arial"/>
                <w:sz w:val="24"/>
                <w:szCs w:val="24"/>
              </w:rPr>
              <w:t>los documentos desde su producción deben</w:t>
            </w:r>
            <w:r w:rsidRPr="00B74C11">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824D3F" w:rsidRPr="00B74C11" w14:paraId="182D6FBC" w14:textId="77777777" w:rsidTr="004933AC">
        <w:trPr>
          <w:trHeight w:val="258"/>
          <w:jc w:val="center"/>
        </w:trPr>
        <w:tc>
          <w:tcPr>
            <w:tcW w:w="351" w:type="pct"/>
            <w:vMerge w:val="restart"/>
            <w:shd w:val="clear" w:color="auto" w:fill="auto"/>
            <w:tcMar>
              <w:top w:w="15" w:type="dxa"/>
              <w:left w:w="56" w:type="dxa"/>
              <w:bottom w:w="0" w:type="dxa"/>
              <w:right w:w="56" w:type="dxa"/>
            </w:tcMar>
            <w:vAlign w:val="center"/>
          </w:tcPr>
          <w:p w14:paraId="18868250"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7B41FDF1"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2DB80050"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Administrativo:</w:t>
            </w:r>
          </w:p>
        </w:tc>
        <w:tc>
          <w:tcPr>
            <w:tcW w:w="909" w:type="pct"/>
            <w:shd w:val="clear" w:color="auto" w:fill="auto"/>
            <w:vAlign w:val="center"/>
          </w:tcPr>
          <w:p w14:paraId="06F0B6FC"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Legal y/o Jurídico:</w:t>
            </w:r>
          </w:p>
        </w:tc>
        <w:tc>
          <w:tcPr>
            <w:tcW w:w="938" w:type="pct"/>
            <w:shd w:val="clear" w:color="auto" w:fill="auto"/>
            <w:vAlign w:val="center"/>
          </w:tcPr>
          <w:p w14:paraId="5BA8A4AE"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Contable:</w:t>
            </w:r>
          </w:p>
        </w:tc>
        <w:tc>
          <w:tcPr>
            <w:tcW w:w="853" w:type="pct"/>
            <w:shd w:val="clear" w:color="auto" w:fill="auto"/>
            <w:vAlign w:val="center"/>
          </w:tcPr>
          <w:p w14:paraId="6FC29DD2"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Fiscal:</w:t>
            </w:r>
          </w:p>
        </w:tc>
      </w:tr>
      <w:tr w:rsidR="00824D3F" w:rsidRPr="00B74C11" w14:paraId="46481846" w14:textId="77777777" w:rsidTr="004933AC">
        <w:trPr>
          <w:trHeight w:val="258"/>
          <w:jc w:val="center"/>
        </w:trPr>
        <w:tc>
          <w:tcPr>
            <w:tcW w:w="351" w:type="pct"/>
            <w:vMerge/>
            <w:shd w:val="clear" w:color="auto" w:fill="auto"/>
            <w:tcMar>
              <w:top w:w="15" w:type="dxa"/>
              <w:left w:w="56" w:type="dxa"/>
              <w:bottom w:w="0" w:type="dxa"/>
              <w:right w:w="56" w:type="dxa"/>
            </w:tcMar>
            <w:vAlign w:val="center"/>
          </w:tcPr>
          <w:p w14:paraId="22244F3F" w14:textId="77777777" w:rsidR="00824D3F" w:rsidRPr="00B74C11" w:rsidRDefault="00824D3F" w:rsidP="004933AC">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6600F675"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4DFBC6C9" w14:textId="20A9B6BA" w:rsidR="00824D3F" w:rsidRPr="00B74C11" w:rsidRDefault="00824D3F" w:rsidP="004933AC">
            <w:pPr>
              <w:rPr>
                <w:rFonts w:ascii="Arial" w:hAnsi="Arial" w:cs="Arial"/>
                <w:sz w:val="24"/>
                <w:szCs w:val="24"/>
              </w:rPr>
            </w:pPr>
            <w:r w:rsidRPr="006E2446">
              <w:rPr>
                <w:rFonts w:ascii="Arial" w:hAnsi="Arial" w:cs="Arial"/>
                <w:sz w:val="24"/>
                <w:szCs w:val="24"/>
              </w:rPr>
              <w:t>La subserie Actas del Comité de Ética y Bioética tuvo valor administrativo ya que daba a conoc</w:t>
            </w:r>
            <w:r w:rsidR="00F03386">
              <w:rPr>
                <w:rFonts w:ascii="Arial" w:hAnsi="Arial" w:cs="Arial"/>
                <w:sz w:val="24"/>
                <w:szCs w:val="24"/>
              </w:rPr>
              <w:t xml:space="preserve">er la gestión adelantada por la </w:t>
            </w:r>
            <w:r w:rsidR="00F03386">
              <w:rPr>
                <w:rFonts w:ascii="Arial" w:hAnsi="Arial" w:cs="Arial"/>
                <w:sz w:val="24"/>
                <w:szCs w:val="24"/>
              </w:rPr>
              <w:lastRenderedPageBreak/>
              <w:t xml:space="preserve">universidad en cuanto a la transparencia de los procesos educativos en cada uno de sus programas académicos. </w:t>
            </w:r>
          </w:p>
        </w:tc>
        <w:tc>
          <w:tcPr>
            <w:tcW w:w="909" w:type="pct"/>
            <w:shd w:val="clear" w:color="auto" w:fill="auto"/>
            <w:vAlign w:val="center"/>
          </w:tcPr>
          <w:p w14:paraId="4F05F685" w14:textId="3665FBEB" w:rsidR="00824D3F" w:rsidRPr="00B74C11" w:rsidRDefault="00824D3F" w:rsidP="004933AC">
            <w:pPr>
              <w:rPr>
                <w:rFonts w:ascii="Arial" w:hAnsi="Arial" w:cs="Arial"/>
                <w:sz w:val="24"/>
                <w:szCs w:val="24"/>
              </w:rPr>
            </w:pPr>
            <w:r w:rsidRPr="00383E42">
              <w:rPr>
                <w:rFonts w:ascii="Arial" w:hAnsi="Arial" w:cs="Arial"/>
                <w:sz w:val="24"/>
                <w:szCs w:val="24"/>
              </w:rPr>
              <w:lastRenderedPageBreak/>
              <w:t xml:space="preserve">La subserie Actas del Comité de Ética y Bioética tuvo valor </w:t>
            </w:r>
            <w:r w:rsidR="00383E42" w:rsidRPr="00383E42">
              <w:rPr>
                <w:rFonts w:ascii="Arial" w:hAnsi="Arial" w:cs="Arial"/>
                <w:sz w:val="24"/>
                <w:szCs w:val="24"/>
              </w:rPr>
              <w:t xml:space="preserve">legal ya que permitía mostrar los procesos desarrollados tanto en las dependencias </w:t>
            </w:r>
            <w:r w:rsidR="00383E42">
              <w:rPr>
                <w:rFonts w:ascii="Arial" w:hAnsi="Arial" w:cs="Arial"/>
                <w:sz w:val="24"/>
                <w:szCs w:val="24"/>
              </w:rPr>
              <w:lastRenderedPageBreak/>
              <w:t xml:space="preserve">administrativas como en el desarrollo de los programas académicos, partiendo de los principios de transparencia y ética. </w:t>
            </w:r>
          </w:p>
        </w:tc>
        <w:tc>
          <w:tcPr>
            <w:tcW w:w="938" w:type="pct"/>
            <w:shd w:val="clear" w:color="auto" w:fill="auto"/>
            <w:vAlign w:val="center"/>
          </w:tcPr>
          <w:p w14:paraId="32CF1C91" w14:textId="77777777" w:rsidR="00824D3F" w:rsidRPr="00B74C11" w:rsidRDefault="00824D3F" w:rsidP="004933AC">
            <w:pPr>
              <w:rPr>
                <w:rFonts w:ascii="Arial" w:hAnsi="Arial" w:cs="Arial"/>
                <w:sz w:val="24"/>
                <w:szCs w:val="24"/>
              </w:rPr>
            </w:pPr>
            <w:r w:rsidRPr="00B74C11">
              <w:rPr>
                <w:rFonts w:ascii="Arial" w:hAnsi="Arial" w:cs="Arial"/>
                <w:sz w:val="24"/>
                <w:szCs w:val="24"/>
              </w:rPr>
              <w:lastRenderedPageBreak/>
              <w:t xml:space="preserve">La subserie Actas del Comité de Ética y Bioética no tuvo valor contable ya que la información que contienen los documentos que la componen no refleja </w:t>
            </w:r>
            <w:r w:rsidRPr="00B74C11">
              <w:rPr>
                <w:rFonts w:ascii="Arial" w:hAnsi="Arial" w:cs="Arial"/>
                <w:sz w:val="24"/>
                <w:szCs w:val="24"/>
              </w:rPr>
              <w:lastRenderedPageBreak/>
              <w:t>movimientos económicos y/o financieros de la enti</w:t>
            </w:r>
            <w:bookmarkStart w:id="0" w:name="_GoBack"/>
            <w:bookmarkEnd w:id="0"/>
            <w:r w:rsidRPr="00B74C11">
              <w:rPr>
                <w:rFonts w:ascii="Arial" w:hAnsi="Arial" w:cs="Arial"/>
                <w:sz w:val="24"/>
                <w:szCs w:val="24"/>
              </w:rPr>
              <w:t xml:space="preserve">dad.   </w:t>
            </w:r>
          </w:p>
        </w:tc>
        <w:tc>
          <w:tcPr>
            <w:tcW w:w="853" w:type="pct"/>
            <w:shd w:val="clear" w:color="auto" w:fill="auto"/>
            <w:vAlign w:val="center"/>
          </w:tcPr>
          <w:p w14:paraId="4E87AEC2" w14:textId="77777777" w:rsidR="00824D3F" w:rsidRPr="00B74C11" w:rsidRDefault="00824D3F" w:rsidP="004933AC">
            <w:pPr>
              <w:rPr>
                <w:rFonts w:ascii="Arial" w:hAnsi="Arial" w:cs="Arial"/>
                <w:sz w:val="24"/>
                <w:szCs w:val="24"/>
              </w:rPr>
            </w:pPr>
            <w:r w:rsidRPr="00B74C11">
              <w:rPr>
                <w:rFonts w:ascii="Arial" w:hAnsi="Arial" w:cs="Arial"/>
                <w:sz w:val="24"/>
                <w:szCs w:val="24"/>
              </w:rPr>
              <w:lastRenderedPageBreak/>
              <w:t xml:space="preserve">La subserie Actas del Comité de Ética y Bioética no tuvo valor fiscal por cuanto no registra documentos decisorios que comprometan el </w:t>
            </w:r>
            <w:r w:rsidRPr="00B74C11">
              <w:rPr>
                <w:rFonts w:ascii="Arial" w:hAnsi="Arial" w:cs="Arial"/>
                <w:sz w:val="24"/>
                <w:szCs w:val="24"/>
              </w:rPr>
              <w:lastRenderedPageBreak/>
              <w:t>manejo presupuestal, de bienes o recursos públicos.</w:t>
            </w:r>
          </w:p>
        </w:tc>
      </w:tr>
      <w:tr w:rsidR="00824D3F" w:rsidRPr="00B74C11" w14:paraId="19762E62" w14:textId="77777777" w:rsidTr="004933AC">
        <w:trPr>
          <w:trHeight w:val="258"/>
          <w:jc w:val="center"/>
        </w:trPr>
        <w:tc>
          <w:tcPr>
            <w:tcW w:w="351" w:type="pct"/>
            <w:shd w:val="clear" w:color="auto" w:fill="auto"/>
            <w:tcMar>
              <w:top w:w="15" w:type="dxa"/>
              <w:left w:w="56" w:type="dxa"/>
              <w:bottom w:w="0" w:type="dxa"/>
              <w:right w:w="56" w:type="dxa"/>
            </w:tcMar>
            <w:vAlign w:val="center"/>
          </w:tcPr>
          <w:p w14:paraId="56D8206D"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3C60DE20"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53295F46" w14:textId="0910D311" w:rsidR="00B74C11" w:rsidRPr="005703CD" w:rsidRDefault="000D07C2" w:rsidP="00B74C11">
            <w:pPr>
              <w:jc w:val="both"/>
              <w:rPr>
                <w:rFonts w:ascii="Arial" w:hAnsi="Arial" w:cs="Arial"/>
                <w:sz w:val="24"/>
                <w:szCs w:val="24"/>
              </w:rPr>
            </w:pPr>
            <w:r w:rsidRPr="005703CD">
              <w:rPr>
                <w:rFonts w:ascii="Arial" w:hAnsi="Arial" w:cs="Arial"/>
                <w:b/>
                <w:sz w:val="24"/>
                <w:szCs w:val="24"/>
              </w:rPr>
              <w:t>Resolución Numero 8430 De 1993</w:t>
            </w:r>
            <w:r w:rsidRPr="005703CD">
              <w:rPr>
                <w:rFonts w:ascii="Arial" w:hAnsi="Arial" w:cs="Arial"/>
                <w:sz w:val="24"/>
                <w:szCs w:val="24"/>
              </w:rPr>
              <w:t xml:space="preserve"> </w:t>
            </w:r>
            <w:r w:rsidR="001558AF" w:rsidRPr="005703CD">
              <w:rPr>
                <w:rFonts w:ascii="Arial" w:hAnsi="Arial" w:cs="Arial"/>
                <w:sz w:val="24"/>
                <w:szCs w:val="24"/>
              </w:rPr>
              <w:t>Por la cual se establecen las normas científicas, técnicas y administrativas para la investigación en salud</w:t>
            </w:r>
            <w:r w:rsidR="005703CD" w:rsidRPr="005703CD">
              <w:rPr>
                <w:rFonts w:ascii="Arial" w:hAnsi="Arial" w:cs="Arial"/>
                <w:sz w:val="24"/>
                <w:szCs w:val="24"/>
              </w:rPr>
              <w:t>.</w:t>
            </w:r>
          </w:p>
          <w:p w14:paraId="1CFB359B" w14:textId="0E1A0E53" w:rsidR="005703CD" w:rsidRDefault="005703CD" w:rsidP="00B74C11">
            <w:pPr>
              <w:jc w:val="both"/>
              <w:rPr>
                <w:rFonts w:ascii="Arial" w:hAnsi="Arial" w:cs="Arial"/>
                <w:sz w:val="24"/>
                <w:szCs w:val="24"/>
              </w:rPr>
            </w:pPr>
            <w:r w:rsidRPr="005703CD">
              <w:rPr>
                <w:rFonts w:ascii="Arial" w:hAnsi="Arial" w:cs="Arial"/>
                <w:b/>
                <w:sz w:val="24"/>
                <w:szCs w:val="24"/>
              </w:rPr>
              <w:t>Ministerio de Salud. (1993). Resolución 008430. OMS. (2000).</w:t>
            </w:r>
            <w:r w:rsidRPr="005703CD">
              <w:rPr>
                <w:rFonts w:ascii="Arial" w:hAnsi="Arial" w:cs="Arial"/>
                <w:sz w:val="24"/>
                <w:szCs w:val="24"/>
              </w:rPr>
              <w:t xml:space="preserve"> Guías operacionales para comités de ética que evalúan investigación Biomédica</w:t>
            </w:r>
            <w:r>
              <w:rPr>
                <w:rFonts w:ascii="Arial" w:hAnsi="Arial" w:cs="Arial"/>
                <w:sz w:val="24"/>
                <w:szCs w:val="24"/>
              </w:rPr>
              <w:t>.</w:t>
            </w:r>
          </w:p>
          <w:p w14:paraId="51E9C323" w14:textId="77777777" w:rsidR="005703CD" w:rsidRPr="005703CD" w:rsidRDefault="005703CD" w:rsidP="00B74C11">
            <w:pPr>
              <w:jc w:val="both"/>
              <w:rPr>
                <w:rFonts w:ascii="Arial" w:hAnsi="Arial" w:cs="Arial"/>
                <w:sz w:val="24"/>
                <w:szCs w:val="24"/>
              </w:rPr>
            </w:pPr>
          </w:p>
          <w:p w14:paraId="6F5BBF67" w14:textId="41F8F13A" w:rsidR="00D208D6" w:rsidRPr="00D208D6" w:rsidRDefault="00B74C11" w:rsidP="00D208D6">
            <w:pPr>
              <w:jc w:val="both"/>
              <w:rPr>
                <w:rFonts w:ascii="Arial" w:hAnsi="Arial" w:cs="Arial"/>
                <w:sz w:val="24"/>
                <w:szCs w:val="24"/>
              </w:rPr>
            </w:pPr>
            <w:r w:rsidRPr="005703CD">
              <w:rPr>
                <w:rFonts w:ascii="Arial" w:eastAsia="Arial" w:hAnsi="Arial" w:cs="Arial"/>
                <w:b/>
                <w:sz w:val="24"/>
                <w:szCs w:val="24"/>
              </w:rPr>
              <w:t>NTC 4436, 1998-07-22</w:t>
            </w:r>
            <w:r w:rsidRPr="005703CD">
              <w:rPr>
                <w:rFonts w:ascii="Arial" w:eastAsia="Arial" w:hAnsi="Arial" w:cs="Arial"/>
                <w:sz w:val="24"/>
                <w:szCs w:val="24"/>
              </w:rPr>
              <w:t xml:space="preserve"> "Información y documentación. Papel para documentos de Archivo. Requisitos para la permanencia y durabilidad”.</w:t>
            </w:r>
          </w:p>
          <w:p w14:paraId="7D8904EF" w14:textId="064B07CE" w:rsidR="005703CD" w:rsidRPr="00D208D6" w:rsidRDefault="00D208D6" w:rsidP="00D208D6">
            <w:pPr>
              <w:pStyle w:val="NormalWeb"/>
              <w:shd w:val="clear" w:color="auto" w:fill="FFFFFF"/>
              <w:spacing w:before="0" w:beforeAutospacing="0" w:after="165" w:afterAutospacing="0"/>
              <w:rPr>
                <w:rFonts w:ascii="Arial" w:hAnsi="Arial" w:cs="Arial"/>
              </w:rPr>
            </w:pPr>
            <w:r w:rsidRPr="005703CD">
              <w:rPr>
                <w:rFonts w:ascii="Arial" w:hAnsi="Arial" w:cs="Arial"/>
                <w:b/>
              </w:rPr>
              <w:t>CIOMS. (2002). Pautas éticas internacionales para la investigación biomédica en seres humanos. CIEB. (2004).</w:t>
            </w:r>
            <w:r w:rsidRPr="005703CD">
              <w:rPr>
                <w:rFonts w:ascii="Arial" w:hAnsi="Arial" w:cs="Arial"/>
              </w:rPr>
              <w:t xml:space="preserve"> Los Comités de Evaluación Ética y Científica de las Investigaciones en Seres Humanos en los países latinoamericanos y del Caribe: una propuesta para su desarrollo. </w:t>
            </w:r>
          </w:p>
          <w:p w14:paraId="7DA360F7" w14:textId="4B609462" w:rsidR="00B74C11" w:rsidRDefault="00B74C11" w:rsidP="00B74C11">
            <w:pPr>
              <w:jc w:val="both"/>
              <w:rPr>
                <w:rFonts w:ascii="Arial" w:hAnsi="Arial" w:cs="Arial"/>
                <w:sz w:val="24"/>
                <w:szCs w:val="24"/>
              </w:rPr>
            </w:pPr>
            <w:r w:rsidRPr="005703CD">
              <w:rPr>
                <w:rFonts w:ascii="Arial" w:hAnsi="Arial" w:cs="Arial"/>
                <w:b/>
                <w:sz w:val="24"/>
                <w:szCs w:val="24"/>
              </w:rPr>
              <w:t>Ley 1286 de enero 23 de 2009</w:t>
            </w:r>
            <w:r w:rsidRPr="005703CD">
              <w:rPr>
                <w:rFonts w:ascii="Arial" w:hAnsi="Arial" w:cs="Arial"/>
                <w:sz w:val="24"/>
                <w:szCs w:val="24"/>
              </w:rPr>
              <w:t xml:space="preserve"> “Por la cual se modifica la Ley 29 de 1990, se transforma a Colciencias en Departamento Administrativo, se fortalece el Sistema Nacional de Ciencia, Tecnología e Innovación en Colombia y se dictan otras disposiciones.”</w:t>
            </w:r>
          </w:p>
          <w:p w14:paraId="1EB17940" w14:textId="77777777" w:rsidR="00D208D6" w:rsidRDefault="00D208D6" w:rsidP="00B74C11">
            <w:pPr>
              <w:jc w:val="both"/>
              <w:rPr>
                <w:rFonts w:ascii="Arial" w:hAnsi="Arial" w:cs="Arial"/>
                <w:b/>
                <w:sz w:val="24"/>
                <w:szCs w:val="24"/>
              </w:rPr>
            </w:pPr>
          </w:p>
          <w:p w14:paraId="57CB5D45" w14:textId="63CE3706" w:rsidR="00D208D6" w:rsidRDefault="00D208D6" w:rsidP="00B74C11">
            <w:pPr>
              <w:jc w:val="both"/>
              <w:rPr>
                <w:rFonts w:ascii="Arial" w:hAnsi="Arial" w:cs="Arial"/>
                <w:sz w:val="24"/>
                <w:szCs w:val="24"/>
              </w:rPr>
            </w:pPr>
            <w:r w:rsidRPr="00D208D6">
              <w:rPr>
                <w:rFonts w:ascii="Arial" w:hAnsi="Arial" w:cs="Arial"/>
                <w:b/>
                <w:sz w:val="24"/>
                <w:szCs w:val="24"/>
              </w:rPr>
              <w:t xml:space="preserve">UNESCO. (2005). </w:t>
            </w:r>
            <w:r w:rsidRPr="005703CD">
              <w:rPr>
                <w:rFonts w:ascii="Arial" w:hAnsi="Arial" w:cs="Arial"/>
                <w:sz w:val="24"/>
                <w:szCs w:val="24"/>
              </w:rPr>
              <w:t>Creación de Comités de Bioética</w:t>
            </w:r>
          </w:p>
          <w:p w14:paraId="7921BF36" w14:textId="77777777" w:rsidR="00D208D6" w:rsidRPr="005703CD" w:rsidRDefault="00D208D6" w:rsidP="00B74C11">
            <w:pPr>
              <w:jc w:val="both"/>
              <w:rPr>
                <w:rFonts w:ascii="Arial" w:hAnsi="Arial" w:cs="Arial"/>
                <w:sz w:val="24"/>
                <w:szCs w:val="24"/>
              </w:rPr>
            </w:pPr>
          </w:p>
          <w:p w14:paraId="0777CE09" w14:textId="77777777" w:rsidR="00B74C11" w:rsidRPr="005703CD" w:rsidRDefault="001558AF" w:rsidP="00B74C11">
            <w:pPr>
              <w:pStyle w:val="NormalWeb"/>
              <w:shd w:val="clear" w:color="auto" w:fill="FFFFFF"/>
              <w:spacing w:before="0" w:beforeAutospacing="0" w:after="165" w:afterAutospacing="0"/>
              <w:rPr>
                <w:rFonts w:ascii="Arial" w:eastAsia="Arial" w:hAnsi="Arial" w:cs="Arial"/>
              </w:rPr>
            </w:pPr>
            <w:r w:rsidRPr="005703CD">
              <w:rPr>
                <w:rFonts w:ascii="Arial" w:hAnsi="Arial" w:cs="Arial"/>
                <w:b/>
              </w:rPr>
              <w:t>5173 del 9 de mayo de 2014</w:t>
            </w:r>
            <w:r w:rsidRPr="005703CD">
              <w:rPr>
                <w:rFonts w:ascii="Arial" w:hAnsi="Arial" w:cs="Arial"/>
              </w:rPr>
              <w:t xml:space="preserve"> Por la cual se reglamenta el Artículo 13, Comité de Ética en investigación (CEI) del Estatuto de Investigación de la Universidad Nacional Abierta y a Distancia (UNAD).</w:t>
            </w:r>
            <w:r w:rsidR="00B74C11" w:rsidRPr="005703CD">
              <w:rPr>
                <w:rFonts w:ascii="Arial" w:hAnsi="Arial" w:cs="Arial"/>
              </w:rPr>
              <w:br/>
            </w:r>
            <w:r w:rsidRPr="005703CD">
              <w:rPr>
                <w:rFonts w:ascii="Arial" w:hAnsi="Arial" w:cs="Arial"/>
                <w:b/>
              </w:rPr>
              <w:t>Resolución 6464 del 14 de julio de 2014</w:t>
            </w:r>
            <w:r w:rsidRPr="005703CD">
              <w:rPr>
                <w:rFonts w:ascii="Arial" w:hAnsi="Arial" w:cs="Arial"/>
              </w:rPr>
              <w:t xml:space="preserve"> Por la cual se establece la creación, conformación y funcionamiento de la Comisión Especial de Bioética de la escuela de Ciencias de la Salud de la UNAD – CEB – ECISALUD.</w:t>
            </w:r>
            <w:r w:rsidR="00B74C11" w:rsidRPr="005703CD">
              <w:rPr>
                <w:rFonts w:ascii="Arial" w:hAnsi="Arial" w:cs="Arial"/>
              </w:rPr>
              <w:br/>
            </w:r>
            <w:r w:rsidR="00B74C11" w:rsidRPr="005703CD">
              <w:rPr>
                <w:rFonts w:ascii="Arial" w:eastAsia="Arial" w:hAnsi="Arial" w:cs="Arial"/>
                <w:b/>
              </w:rPr>
              <w:t>Acuerdo 006 de 2014</w:t>
            </w:r>
            <w:r w:rsidR="00B74C11" w:rsidRPr="005703CD">
              <w:rPr>
                <w:rFonts w:ascii="Arial" w:eastAsia="Arial" w:hAnsi="Arial" w:cs="Arial"/>
              </w:rPr>
              <w:t xml:space="preserve"> sobre “Conservación de Documentos”</w:t>
            </w:r>
          </w:p>
          <w:p w14:paraId="6B363402" w14:textId="27C815CC" w:rsidR="005703CD" w:rsidRPr="00B74C11" w:rsidRDefault="005703CD" w:rsidP="00B74C11">
            <w:pPr>
              <w:pStyle w:val="NormalWeb"/>
              <w:shd w:val="clear" w:color="auto" w:fill="FFFFFF"/>
              <w:spacing w:before="0" w:beforeAutospacing="0" w:after="165" w:afterAutospacing="0"/>
              <w:rPr>
                <w:rFonts w:ascii="Arial" w:hAnsi="Arial" w:cs="Arial"/>
              </w:rPr>
            </w:pPr>
            <w:r w:rsidRPr="005703CD">
              <w:rPr>
                <w:rFonts w:ascii="Arial" w:hAnsi="Arial" w:cs="Arial"/>
                <w:b/>
              </w:rPr>
              <w:t>CIOMS. (2002). Pautas éticas internacionales para la investigación biomédica en seres humanos. CIEB. (2004).</w:t>
            </w:r>
            <w:r w:rsidRPr="005703CD">
              <w:rPr>
                <w:rFonts w:ascii="Arial" w:hAnsi="Arial" w:cs="Arial"/>
              </w:rPr>
              <w:t xml:space="preserve"> Los Comités de Evaluación Ética y Científica de las Investigaciones en Seres Humanos en los países latinoamericanos y del Caribe: una propuesta para su desarrollo. </w:t>
            </w:r>
          </w:p>
        </w:tc>
      </w:tr>
    </w:tbl>
    <w:p w14:paraId="2603E33F" w14:textId="77777777" w:rsidR="00824D3F" w:rsidRPr="00B74C11" w:rsidRDefault="00824D3F" w:rsidP="00824D3F">
      <w:pPr>
        <w:pStyle w:val="NormalWeb"/>
        <w:spacing w:before="0" w:beforeAutospacing="0" w:after="0" w:afterAutospacing="0" w:line="276" w:lineRule="auto"/>
        <w:rPr>
          <w:rFonts w:ascii="Arial" w:hAnsi="Arial" w:cs="Arial"/>
          <w:b/>
          <w:bCs/>
        </w:rPr>
      </w:pPr>
    </w:p>
    <w:p w14:paraId="7E31B8A8" w14:textId="77777777" w:rsidR="00824D3F" w:rsidRPr="00B74C11" w:rsidRDefault="00824D3F" w:rsidP="00824D3F">
      <w:pPr>
        <w:pStyle w:val="NormalWeb"/>
        <w:spacing w:before="0" w:beforeAutospacing="0" w:after="0" w:afterAutospacing="0" w:line="276" w:lineRule="auto"/>
        <w:rPr>
          <w:rFonts w:ascii="Arial" w:hAnsi="Arial" w:cs="Arial"/>
          <w:b/>
          <w:bCs/>
        </w:rPr>
      </w:pPr>
    </w:p>
    <w:p w14:paraId="5485FDE4"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r w:rsidRPr="00B74C11">
        <w:rPr>
          <w:rFonts w:ascii="Arial" w:hAnsi="Arial" w:cs="Arial"/>
          <w:b/>
          <w:bCs/>
        </w:rPr>
        <w:t xml:space="preserve">3. </w:t>
      </w:r>
      <w:r w:rsidRPr="00B74C11">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824D3F" w:rsidRPr="00B74C11" w14:paraId="0740571F" w14:textId="77777777" w:rsidTr="004933AC">
        <w:trPr>
          <w:trHeight w:val="309"/>
          <w:jc w:val="center"/>
        </w:trPr>
        <w:tc>
          <w:tcPr>
            <w:tcW w:w="326" w:type="pct"/>
            <w:vMerge w:val="restart"/>
            <w:shd w:val="clear" w:color="auto" w:fill="auto"/>
            <w:tcMar>
              <w:top w:w="15" w:type="dxa"/>
              <w:left w:w="56" w:type="dxa"/>
              <w:bottom w:w="0" w:type="dxa"/>
              <w:right w:w="56" w:type="dxa"/>
            </w:tcMar>
            <w:vAlign w:val="center"/>
            <w:hideMark/>
          </w:tcPr>
          <w:p w14:paraId="3369ED38"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01BE4B93"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7C65EBCA"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Archivo de Gestión</w:t>
            </w:r>
          </w:p>
        </w:tc>
        <w:tc>
          <w:tcPr>
            <w:tcW w:w="1145" w:type="pct"/>
            <w:gridSpan w:val="4"/>
            <w:shd w:val="clear" w:color="auto" w:fill="auto"/>
            <w:vAlign w:val="center"/>
          </w:tcPr>
          <w:p w14:paraId="6D1396B9"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Archivo Central</w:t>
            </w:r>
          </w:p>
        </w:tc>
        <w:tc>
          <w:tcPr>
            <w:tcW w:w="1130" w:type="pct"/>
            <w:gridSpan w:val="3"/>
            <w:shd w:val="clear" w:color="auto" w:fill="auto"/>
            <w:vAlign w:val="center"/>
          </w:tcPr>
          <w:p w14:paraId="238A2F2B"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Tiempo total</w:t>
            </w:r>
          </w:p>
        </w:tc>
      </w:tr>
      <w:tr w:rsidR="00824D3F" w:rsidRPr="00B74C11" w14:paraId="2B3892A3" w14:textId="77777777" w:rsidTr="004933AC">
        <w:trPr>
          <w:trHeight w:val="309"/>
          <w:jc w:val="center"/>
        </w:trPr>
        <w:tc>
          <w:tcPr>
            <w:tcW w:w="326" w:type="pct"/>
            <w:vMerge/>
            <w:shd w:val="clear" w:color="auto" w:fill="auto"/>
            <w:tcMar>
              <w:top w:w="15" w:type="dxa"/>
              <w:left w:w="56" w:type="dxa"/>
              <w:bottom w:w="0" w:type="dxa"/>
              <w:right w:w="56" w:type="dxa"/>
            </w:tcMar>
            <w:vAlign w:val="center"/>
          </w:tcPr>
          <w:p w14:paraId="4A5AF336"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1E314C3D"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64469008" w14:textId="77777777" w:rsidR="00824D3F" w:rsidRPr="00B74C11" w:rsidRDefault="00824D3F" w:rsidP="004933AC">
            <w:pPr>
              <w:jc w:val="center"/>
              <w:rPr>
                <w:rFonts w:ascii="Arial" w:hAnsi="Arial" w:cs="Arial"/>
                <w:sz w:val="24"/>
                <w:szCs w:val="24"/>
              </w:rPr>
            </w:pPr>
            <w:r w:rsidRPr="00B74C11">
              <w:rPr>
                <w:rFonts w:ascii="Arial" w:hAnsi="Arial" w:cs="Arial"/>
                <w:sz w:val="24"/>
                <w:szCs w:val="24"/>
              </w:rPr>
              <w:t>3</w:t>
            </w:r>
          </w:p>
        </w:tc>
        <w:tc>
          <w:tcPr>
            <w:tcW w:w="1145" w:type="pct"/>
            <w:gridSpan w:val="4"/>
            <w:shd w:val="clear" w:color="auto" w:fill="auto"/>
            <w:vAlign w:val="center"/>
          </w:tcPr>
          <w:p w14:paraId="021074E0" w14:textId="77777777" w:rsidR="00824D3F" w:rsidRPr="00B74C11" w:rsidRDefault="00824D3F" w:rsidP="004933AC">
            <w:pPr>
              <w:jc w:val="center"/>
              <w:rPr>
                <w:rFonts w:ascii="Arial" w:hAnsi="Arial" w:cs="Arial"/>
                <w:sz w:val="24"/>
                <w:szCs w:val="24"/>
              </w:rPr>
            </w:pPr>
            <w:r w:rsidRPr="00B74C11">
              <w:rPr>
                <w:rFonts w:ascii="Arial" w:hAnsi="Arial" w:cs="Arial"/>
                <w:sz w:val="24"/>
                <w:szCs w:val="24"/>
              </w:rPr>
              <w:t>17</w:t>
            </w:r>
          </w:p>
        </w:tc>
        <w:tc>
          <w:tcPr>
            <w:tcW w:w="1130" w:type="pct"/>
            <w:gridSpan w:val="3"/>
            <w:shd w:val="clear" w:color="auto" w:fill="auto"/>
            <w:vAlign w:val="center"/>
          </w:tcPr>
          <w:p w14:paraId="4C60736A" w14:textId="77777777" w:rsidR="00824D3F" w:rsidRPr="00B74C11" w:rsidRDefault="00824D3F" w:rsidP="004933AC">
            <w:pPr>
              <w:jc w:val="center"/>
              <w:rPr>
                <w:rFonts w:ascii="Arial" w:hAnsi="Arial" w:cs="Arial"/>
                <w:sz w:val="24"/>
                <w:szCs w:val="24"/>
              </w:rPr>
            </w:pPr>
            <w:r w:rsidRPr="00B74C11">
              <w:rPr>
                <w:rFonts w:ascii="Arial" w:hAnsi="Arial" w:cs="Arial"/>
                <w:sz w:val="24"/>
                <w:szCs w:val="24"/>
              </w:rPr>
              <w:t>20</w:t>
            </w:r>
          </w:p>
        </w:tc>
      </w:tr>
      <w:tr w:rsidR="00824D3F" w:rsidRPr="00B74C11" w14:paraId="353563D3" w14:textId="77777777" w:rsidTr="004933AC">
        <w:trPr>
          <w:trHeight w:val="309"/>
          <w:jc w:val="center"/>
        </w:trPr>
        <w:tc>
          <w:tcPr>
            <w:tcW w:w="326" w:type="pct"/>
            <w:shd w:val="clear" w:color="auto" w:fill="auto"/>
            <w:tcMar>
              <w:top w:w="15" w:type="dxa"/>
              <w:left w:w="56" w:type="dxa"/>
              <w:bottom w:w="0" w:type="dxa"/>
              <w:right w:w="56" w:type="dxa"/>
            </w:tcMar>
            <w:vAlign w:val="center"/>
            <w:hideMark/>
          </w:tcPr>
          <w:p w14:paraId="345E3BA0"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E223CBF"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 xml:space="preserve">Disposición </w:t>
            </w:r>
            <w:r w:rsidRPr="00B74C11">
              <w:rPr>
                <w:rFonts w:ascii="Arial" w:eastAsia="Calibri" w:hAnsi="Arial" w:cs="Arial"/>
                <w:b/>
                <w:bCs/>
                <w:color w:val="000000"/>
                <w:kern w:val="24"/>
              </w:rPr>
              <w:lastRenderedPageBreak/>
              <w:t>Final:</w:t>
            </w:r>
          </w:p>
        </w:tc>
        <w:tc>
          <w:tcPr>
            <w:tcW w:w="835" w:type="pct"/>
            <w:shd w:val="clear" w:color="auto" w:fill="auto"/>
            <w:tcMar>
              <w:top w:w="15" w:type="dxa"/>
              <w:left w:w="56" w:type="dxa"/>
              <w:bottom w:w="0" w:type="dxa"/>
              <w:right w:w="56" w:type="dxa"/>
            </w:tcMar>
            <w:vAlign w:val="center"/>
            <w:hideMark/>
          </w:tcPr>
          <w:p w14:paraId="22813A23"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lastRenderedPageBreak/>
              <w:t xml:space="preserve">Conservación </w:t>
            </w:r>
            <w:r w:rsidRPr="00B74C11">
              <w:rPr>
                <w:rFonts w:ascii="Arial" w:hAnsi="Arial" w:cs="Arial"/>
                <w:b/>
                <w:bCs/>
                <w:sz w:val="24"/>
                <w:szCs w:val="24"/>
              </w:rPr>
              <w:lastRenderedPageBreak/>
              <w:t>Total</w:t>
            </w:r>
          </w:p>
        </w:tc>
        <w:tc>
          <w:tcPr>
            <w:tcW w:w="426" w:type="pct"/>
            <w:shd w:val="clear" w:color="auto" w:fill="auto"/>
            <w:vAlign w:val="center"/>
          </w:tcPr>
          <w:p w14:paraId="52A026E2" w14:textId="77777777" w:rsidR="00824D3F" w:rsidRPr="00B74C11" w:rsidRDefault="00824D3F" w:rsidP="004933AC">
            <w:pPr>
              <w:jc w:val="center"/>
              <w:rPr>
                <w:rFonts w:ascii="Arial" w:hAnsi="Arial" w:cs="Arial"/>
                <w:sz w:val="24"/>
                <w:szCs w:val="24"/>
              </w:rPr>
            </w:pPr>
            <w:r w:rsidRPr="00B74C11">
              <w:rPr>
                <w:rFonts w:ascii="Arial" w:hAnsi="Arial" w:cs="Arial"/>
                <w:sz w:val="24"/>
                <w:szCs w:val="24"/>
              </w:rPr>
              <w:lastRenderedPageBreak/>
              <w:t>X</w:t>
            </w:r>
          </w:p>
        </w:tc>
        <w:tc>
          <w:tcPr>
            <w:tcW w:w="501" w:type="pct"/>
            <w:gridSpan w:val="2"/>
            <w:shd w:val="clear" w:color="auto" w:fill="auto"/>
            <w:vAlign w:val="center"/>
          </w:tcPr>
          <w:p w14:paraId="65008198"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Eliminación</w:t>
            </w:r>
          </w:p>
        </w:tc>
        <w:tc>
          <w:tcPr>
            <w:tcW w:w="426" w:type="pct"/>
            <w:shd w:val="clear" w:color="auto" w:fill="auto"/>
            <w:vAlign w:val="center"/>
          </w:tcPr>
          <w:p w14:paraId="5F7887B9" w14:textId="77777777" w:rsidR="00824D3F" w:rsidRPr="00B74C11" w:rsidRDefault="00824D3F" w:rsidP="004933AC">
            <w:pPr>
              <w:jc w:val="center"/>
              <w:rPr>
                <w:rFonts w:ascii="Arial" w:hAnsi="Arial" w:cs="Arial"/>
                <w:sz w:val="24"/>
                <w:szCs w:val="24"/>
              </w:rPr>
            </w:pPr>
          </w:p>
        </w:tc>
        <w:tc>
          <w:tcPr>
            <w:tcW w:w="426" w:type="pct"/>
            <w:shd w:val="clear" w:color="auto" w:fill="auto"/>
            <w:vAlign w:val="center"/>
          </w:tcPr>
          <w:p w14:paraId="2DFBA670" w14:textId="77777777" w:rsidR="00824D3F" w:rsidRPr="00B74C11" w:rsidRDefault="00824D3F" w:rsidP="004933AC">
            <w:pPr>
              <w:jc w:val="center"/>
              <w:rPr>
                <w:rFonts w:ascii="Arial" w:hAnsi="Arial" w:cs="Arial"/>
                <w:b/>
                <w:bCs/>
                <w:sz w:val="24"/>
                <w:szCs w:val="24"/>
              </w:rPr>
            </w:pPr>
            <w:r w:rsidRPr="00B74C11">
              <w:rPr>
                <w:rFonts w:ascii="Arial" w:hAnsi="Arial" w:cs="Arial"/>
                <w:b/>
                <w:bCs/>
                <w:sz w:val="24"/>
                <w:szCs w:val="24"/>
              </w:rPr>
              <w:t>Selección</w:t>
            </w:r>
          </w:p>
        </w:tc>
        <w:tc>
          <w:tcPr>
            <w:tcW w:w="402" w:type="pct"/>
            <w:gridSpan w:val="2"/>
            <w:shd w:val="clear" w:color="auto" w:fill="auto"/>
            <w:vAlign w:val="center"/>
          </w:tcPr>
          <w:p w14:paraId="2A2CF58C" w14:textId="77777777" w:rsidR="00824D3F" w:rsidRPr="00B74C11" w:rsidRDefault="00824D3F" w:rsidP="004933AC">
            <w:pPr>
              <w:jc w:val="center"/>
              <w:rPr>
                <w:rFonts w:ascii="Arial" w:hAnsi="Arial" w:cs="Arial"/>
                <w:sz w:val="24"/>
                <w:szCs w:val="24"/>
              </w:rPr>
            </w:pPr>
          </w:p>
        </w:tc>
        <w:tc>
          <w:tcPr>
            <w:tcW w:w="426" w:type="pct"/>
            <w:shd w:val="clear" w:color="auto" w:fill="auto"/>
            <w:vAlign w:val="center"/>
          </w:tcPr>
          <w:p w14:paraId="19D4D40D" w14:textId="77777777" w:rsidR="00824D3F" w:rsidRPr="00B74C11" w:rsidRDefault="00824D3F" w:rsidP="004933AC">
            <w:pPr>
              <w:jc w:val="center"/>
              <w:rPr>
                <w:rFonts w:ascii="Arial" w:hAnsi="Arial" w:cs="Arial"/>
                <w:sz w:val="24"/>
                <w:szCs w:val="24"/>
              </w:rPr>
            </w:pPr>
            <w:r w:rsidRPr="00B74C11">
              <w:rPr>
                <w:rFonts w:ascii="Arial" w:hAnsi="Arial" w:cs="Arial"/>
                <w:b/>
                <w:bCs/>
                <w:sz w:val="24"/>
                <w:szCs w:val="24"/>
              </w:rPr>
              <w:t>Digitalización</w:t>
            </w:r>
          </w:p>
        </w:tc>
        <w:tc>
          <w:tcPr>
            <w:tcW w:w="428" w:type="pct"/>
            <w:shd w:val="clear" w:color="auto" w:fill="auto"/>
            <w:vAlign w:val="center"/>
          </w:tcPr>
          <w:p w14:paraId="14D7C88C" w14:textId="77777777" w:rsidR="00824D3F" w:rsidRPr="00B74C11" w:rsidRDefault="00824D3F" w:rsidP="004933AC">
            <w:pPr>
              <w:jc w:val="center"/>
              <w:rPr>
                <w:rFonts w:ascii="Arial" w:hAnsi="Arial" w:cs="Arial"/>
                <w:sz w:val="24"/>
                <w:szCs w:val="24"/>
              </w:rPr>
            </w:pPr>
            <w:r w:rsidRPr="00B74C11">
              <w:rPr>
                <w:rFonts w:ascii="Arial" w:hAnsi="Arial" w:cs="Arial"/>
                <w:sz w:val="24"/>
                <w:szCs w:val="24"/>
              </w:rPr>
              <w:t>x</w:t>
            </w:r>
          </w:p>
        </w:tc>
      </w:tr>
      <w:tr w:rsidR="00824D3F" w:rsidRPr="00B74C11" w14:paraId="3573D354" w14:textId="77777777" w:rsidTr="004933AC">
        <w:trPr>
          <w:trHeight w:val="309"/>
          <w:jc w:val="center"/>
        </w:trPr>
        <w:tc>
          <w:tcPr>
            <w:tcW w:w="326" w:type="pct"/>
            <w:shd w:val="clear" w:color="auto" w:fill="auto"/>
            <w:tcMar>
              <w:top w:w="15" w:type="dxa"/>
              <w:left w:w="56" w:type="dxa"/>
              <w:bottom w:w="0" w:type="dxa"/>
              <w:right w:w="56" w:type="dxa"/>
            </w:tcMar>
            <w:vAlign w:val="center"/>
          </w:tcPr>
          <w:p w14:paraId="5C435BA2"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lastRenderedPageBreak/>
              <w:t>3.3</w:t>
            </w:r>
          </w:p>
        </w:tc>
        <w:tc>
          <w:tcPr>
            <w:tcW w:w="804" w:type="pct"/>
            <w:shd w:val="clear" w:color="auto" w:fill="auto"/>
            <w:tcMar>
              <w:top w:w="15" w:type="dxa"/>
              <w:left w:w="56" w:type="dxa"/>
              <w:bottom w:w="0" w:type="dxa"/>
              <w:right w:w="56" w:type="dxa"/>
            </w:tcMar>
            <w:vAlign w:val="center"/>
          </w:tcPr>
          <w:p w14:paraId="1F1F48B8"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0E357FC8" w14:textId="4246C62A" w:rsidR="00824D3F" w:rsidRPr="00B74C11" w:rsidRDefault="00824D3F" w:rsidP="004933AC">
            <w:pPr>
              <w:jc w:val="both"/>
              <w:rPr>
                <w:rFonts w:ascii="Arial" w:hAnsi="Arial" w:cs="Arial"/>
                <w:sz w:val="24"/>
                <w:szCs w:val="24"/>
              </w:rPr>
            </w:pPr>
            <w:r w:rsidRPr="00B74C11">
              <w:rPr>
                <w:rFonts w:ascii="Arial" w:hAnsi="Arial" w:cs="Arial"/>
                <w:sz w:val="24"/>
                <w:szCs w:val="24"/>
              </w:rPr>
              <w:t xml:space="preserve">Cumplido el tiempo de retención conservar totalmente en medio técnico y soporte papel, ya que la documentación adquiere valores secundarios que dan cuenta de aspectos académicos, y éticos encaminados al seguimiento de proyectos de investigación de acuerdo con lo establecido en la Resolución 005173 por el cual se </w:t>
            </w:r>
            <w:r w:rsidR="00B74C11" w:rsidRPr="00B74C11">
              <w:rPr>
                <w:rFonts w:ascii="Arial" w:hAnsi="Arial" w:cs="Arial"/>
                <w:sz w:val="24"/>
                <w:szCs w:val="24"/>
              </w:rPr>
              <w:t>reglamentara el</w:t>
            </w:r>
            <w:r w:rsidRPr="00B74C11">
              <w:rPr>
                <w:rFonts w:ascii="Arial" w:hAnsi="Arial" w:cs="Arial"/>
                <w:sz w:val="24"/>
                <w:szCs w:val="24"/>
              </w:rPr>
              <w:t xml:space="preserve"> artículo 13, comité de ética en investigación del estatuto de Investigación de la UNAD.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del Sistema de Gestión de la Investigación con el acompañamiento del grupo de Gestión Documental y Función Notarial.</w:t>
            </w:r>
          </w:p>
        </w:tc>
      </w:tr>
    </w:tbl>
    <w:p w14:paraId="377F15C8"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p>
    <w:p w14:paraId="21737273"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p>
    <w:p w14:paraId="64FA629E"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824D3F" w:rsidRPr="00B74C11" w14:paraId="216DACDE" w14:textId="77777777" w:rsidTr="004933AC">
        <w:trPr>
          <w:trHeight w:val="309"/>
          <w:jc w:val="center"/>
        </w:trPr>
        <w:tc>
          <w:tcPr>
            <w:tcW w:w="351" w:type="pct"/>
            <w:shd w:val="clear" w:color="auto" w:fill="auto"/>
            <w:tcMar>
              <w:top w:w="15" w:type="dxa"/>
              <w:left w:w="56" w:type="dxa"/>
              <w:bottom w:w="0" w:type="dxa"/>
              <w:right w:w="56" w:type="dxa"/>
            </w:tcMar>
            <w:vAlign w:val="center"/>
          </w:tcPr>
          <w:p w14:paraId="74A6341E"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272A523E"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1DA1EB5E" w14:textId="77777777" w:rsidR="00824D3F" w:rsidRPr="00B74C11" w:rsidRDefault="00824D3F" w:rsidP="004933AC">
            <w:pPr>
              <w:rPr>
                <w:rFonts w:ascii="Arial" w:hAnsi="Arial" w:cs="Arial"/>
                <w:b/>
                <w:bCs/>
                <w:sz w:val="24"/>
                <w:szCs w:val="24"/>
              </w:rPr>
            </w:pPr>
            <w:r w:rsidRPr="00B74C11">
              <w:rPr>
                <w:rFonts w:ascii="Arial" w:hAnsi="Arial" w:cs="Arial"/>
                <w:b/>
                <w:bCs/>
                <w:sz w:val="24"/>
                <w:szCs w:val="24"/>
              </w:rPr>
              <w:t xml:space="preserve">Si </w:t>
            </w:r>
          </w:p>
        </w:tc>
        <w:tc>
          <w:tcPr>
            <w:tcW w:w="864" w:type="pct"/>
            <w:gridSpan w:val="2"/>
            <w:shd w:val="clear" w:color="auto" w:fill="auto"/>
            <w:vAlign w:val="center"/>
          </w:tcPr>
          <w:p w14:paraId="67CF3CA1" w14:textId="77777777" w:rsidR="00824D3F" w:rsidRPr="00B74C11" w:rsidRDefault="00824D3F" w:rsidP="004933AC">
            <w:pPr>
              <w:rPr>
                <w:rFonts w:ascii="Arial" w:hAnsi="Arial" w:cs="Arial"/>
                <w:sz w:val="24"/>
                <w:szCs w:val="24"/>
              </w:rPr>
            </w:pPr>
            <w:r w:rsidRPr="00B74C11">
              <w:rPr>
                <w:rFonts w:ascii="Arial" w:hAnsi="Arial" w:cs="Arial"/>
                <w:sz w:val="24"/>
                <w:szCs w:val="24"/>
              </w:rPr>
              <w:t>X</w:t>
            </w:r>
          </w:p>
        </w:tc>
        <w:tc>
          <w:tcPr>
            <w:tcW w:w="854" w:type="pct"/>
            <w:gridSpan w:val="2"/>
            <w:shd w:val="clear" w:color="auto" w:fill="auto"/>
            <w:vAlign w:val="center"/>
          </w:tcPr>
          <w:p w14:paraId="1455D145" w14:textId="77777777" w:rsidR="00824D3F" w:rsidRPr="00B74C11" w:rsidRDefault="00824D3F" w:rsidP="004933AC">
            <w:pPr>
              <w:rPr>
                <w:rFonts w:ascii="Arial" w:hAnsi="Arial" w:cs="Arial"/>
                <w:b/>
                <w:bCs/>
                <w:sz w:val="24"/>
                <w:szCs w:val="24"/>
              </w:rPr>
            </w:pPr>
            <w:r w:rsidRPr="00B74C11">
              <w:rPr>
                <w:rFonts w:ascii="Arial" w:hAnsi="Arial" w:cs="Arial"/>
                <w:b/>
                <w:bCs/>
                <w:sz w:val="24"/>
                <w:szCs w:val="24"/>
              </w:rPr>
              <w:t xml:space="preserve">No </w:t>
            </w:r>
          </w:p>
        </w:tc>
        <w:tc>
          <w:tcPr>
            <w:tcW w:w="853" w:type="pct"/>
            <w:shd w:val="clear" w:color="auto" w:fill="auto"/>
            <w:vAlign w:val="center"/>
          </w:tcPr>
          <w:p w14:paraId="3B4A034E" w14:textId="77777777" w:rsidR="00824D3F" w:rsidRPr="00B74C11" w:rsidRDefault="00824D3F" w:rsidP="004933AC">
            <w:pPr>
              <w:rPr>
                <w:rFonts w:ascii="Arial" w:hAnsi="Arial" w:cs="Arial"/>
                <w:sz w:val="24"/>
                <w:szCs w:val="24"/>
              </w:rPr>
            </w:pPr>
          </w:p>
        </w:tc>
      </w:tr>
      <w:tr w:rsidR="00824D3F" w:rsidRPr="00B74C11" w14:paraId="45F859E3" w14:textId="77777777" w:rsidTr="004933AC">
        <w:trPr>
          <w:trHeight w:val="309"/>
          <w:jc w:val="center"/>
        </w:trPr>
        <w:tc>
          <w:tcPr>
            <w:tcW w:w="351" w:type="pct"/>
            <w:shd w:val="clear" w:color="auto" w:fill="auto"/>
            <w:tcMar>
              <w:top w:w="15" w:type="dxa"/>
              <w:left w:w="56" w:type="dxa"/>
              <w:bottom w:w="0" w:type="dxa"/>
              <w:right w:w="56" w:type="dxa"/>
            </w:tcMar>
            <w:vAlign w:val="center"/>
          </w:tcPr>
          <w:p w14:paraId="078D78D9"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5961D926"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19D4691D" w14:textId="77777777" w:rsidR="00824D3F" w:rsidRPr="00B74C11" w:rsidRDefault="00824D3F" w:rsidP="004933AC">
            <w:pPr>
              <w:rPr>
                <w:rFonts w:ascii="Arial" w:hAnsi="Arial" w:cs="Arial"/>
                <w:b/>
                <w:bCs/>
                <w:sz w:val="24"/>
                <w:szCs w:val="24"/>
              </w:rPr>
            </w:pPr>
            <w:r w:rsidRPr="00B74C11">
              <w:rPr>
                <w:rFonts w:ascii="Arial" w:hAnsi="Arial" w:cs="Arial"/>
                <w:b/>
                <w:bCs/>
                <w:sz w:val="24"/>
                <w:szCs w:val="24"/>
              </w:rPr>
              <w:t xml:space="preserve">Si </w:t>
            </w:r>
          </w:p>
        </w:tc>
        <w:tc>
          <w:tcPr>
            <w:tcW w:w="324" w:type="pct"/>
            <w:shd w:val="clear" w:color="auto" w:fill="auto"/>
            <w:vAlign w:val="center"/>
          </w:tcPr>
          <w:p w14:paraId="04D13D01" w14:textId="77777777" w:rsidR="00824D3F" w:rsidRPr="00B74C11" w:rsidRDefault="00824D3F" w:rsidP="004933AC">
            <w:pPr>
              <w:rPr>
                <w:rFonts w:ascii="Arial" w:hAnsi="Arial" w:cs="Arial"/>
                <w:sz w:val="24"/>
                <w:szCs w:val="24"/>
              </w:rPr>
            </w:pPr>
          </w:p>
        </w:tc>
        <w:tc>
          <w:tcPr>
            <w:tcW w:w="325" w:type="pct"/>
            <w:shd w:val="clear" w:color="auto" w:fill="auto"/>
            <w:vAlign w:val="center"/>
          </w:tcPr>
          <w:p w14:paraId="6A1DFD11" w14:textId="77777777" w:rsidR="00824D3F" w:rsidRPr="00B74C11" w:rsidRDefault="00824D3F" w:rsidP="004933AC">
            <w:pPr>
              <w:rPr>
                <w:rFonts w:ascii="Arial" w:hAnsi="Arial" w:cs="Arial"/>
                <w:b/>
                <w:bCs/>
                <w:sz w:val="24"/>
                <w:szCs w:val="24"/>
              </w:rPr>
            </w:pPr>
            <w:r w:rsidRPr="00B74C11">
              <w:rPr>
                <w:rFonts w:ascii="Arial" w:hAnsi="Arial" w:cs="Arial"/>
                <w:b/>
                <w:bCs/>
                <w:sz w:val="24"/>
                <w:szCs w:val="24"/>
              </w:rPr>
              <w:t xml:space="preserve">No </w:t>
            </w:r>
          </w:p>
        </w:tc>
        <w:tc>
          <w:tcPr>
            <w:tcW w:w="390" w:type="pct"/>
            <w:shd w:val="clear" w:color="auto" w:fill="auto"/>
            <w:vAlign w:val="center"/>
          </w:tcPr>
          <w:p w14:paraId="1B826DBD" w14:textId="77777777" w:rsidR="00824D3F" w:rsidRPr="00B74C11" w:rsidRDefault="00824D3F" w:rsidP="004933AC">
            <w:pPr>
              <w:rPr>
                <w:rFonts w:ascii="Arial" w:hAnsi="Arial" w:cs="Arial"/>
                <w:b/>
                <w:bCs/>
                <w:sz w:val="24"/>
                <w:szCs w:val="24"/>
              </w:rPr>
            </w:pPr>
          </w:p>
        </w:tc>
        <w:tc>
          <w:tcPr>
            <w:tcW w:w="909" w:type="pct"/>
            <w:gridSpan w:val="2"/>
            <w:shd w:val="clear" w:color="auto" w:fill="auto"/>
            <w:vAlign w:val="center"/>
          </w:tcPr>
          <w:p w14:paraId="75B8A919" w14:textId="77777777" w:rsidR="00824D3F" w:rsidRPr="00B74C11" w:rsidRDefault="00824D3F" w:rsidP="004933AC">
            <w:pPr>
              <w:rPr>
                <w:rFonts w:ascii="Arial" w:hAnsi="Arial" w:cs="Arial"/>
                <w:sz w:val="24"/>
                <w:szCs w:val="24"/>
              </w:rPr>
            </w:pPr>
            <w:r w:rsidRPr="00B74C11">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483C2230" w14:textId="77777777" w:rsidR="00824D3F" w:rsidRPr="00B74C11" w:rsidRDefault="00824D3F" w:rsidP="004933AC">
            <w:pPr>
              <w:rPr>
                <w:rFonts w:ascii="Arial" w:hAnsi="Arial" w:cs="Arial"/>
                <w:sz w:val="24"/>
                <w:szCs w:val="24"/>
              </w:rPr>
            </w:pPr>
          </w:p>
        </w:tc>
      </w:tr>
      <w:tr w:rsidR="00824D3F" w:rsidRPr="00B74C11" w14:paraId="35BEAE94" w14:textId="77777777" w:rsidTr="004933AC">
        <w:trPr>
          <w:trHeight w:val="309"/>
          <w:jc w:val="center"/>
        </w:trPr>
        <w:tc>
          <w:tcPr>
            <w:tcW w:w="351" w:type="pct"/>
            <w:shd w:val="clear" w:color="auto" w:fill="auto"/>
            <w:tcMar>
              <w:top w:w="15" w:type="dxa"/>
              <w:left w:w="56" w:type="dxa"/>
              <w:bottom w:w="0" w:type="dxa"/>
              <w:right w:w="56" w:type="dxa"/>
            </w:tcMar>
            <w:vAlign w:val="center"/>
          </w:tcPr>
          <w:p w14:paraId="639D3A1F"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1CB9D3E"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1B5C0F2B" w14:textId="77777777" w:rsidR="00824D3F" w:rsidRPr="00B74C11" w:rsidRDefault="00824D3F" w:rsidP="004933AC">
            <w:pPr>
              <w:rPr>
                <w:rFonts w:ascii="Arial" w:hAnsi="Arial" w:cs="Arial"/>
                <w:sz w:val="24"/>
                <w:szCs w:val="24"/>
              </w:rPr>
            </w:pPr>
          </w:p>
        </w:tc>
      </w:tr>
    </w:tbl>
    <w:p w14:paraId="6F3C21F4"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p>
    <w:p w14:paraId="70EF84B3"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p>
    <w:p w14:paraId="2FC2B8FF"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r w:rsidRPr="00B74C11">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824D3F" w:rsidRPr="00B74C11" w14:paraId="214E2AF6" w14:textId="77777777" w:rsidTr="004933AC">
        <w:trPr>
          <w:trHeight w:val="309"/>
          <w:jc w:val="center"/>
        </w:trPr>
        <w:tc>
          <w:tcPr>
            <w:tcW w:w="351" w:type="pct"/>
            <w:shd w:val="clear" w:color="auto" w:fill="auto"/>
            <w:tcMar>
              <w:top w:w="15" w:type="dxa"/>
              <w:left w:w="56" w:type="dxa"/>
              <w:bottom w:w="0" w:type="dxa"/>
              <w:right w:w="56" w:type="dxa"/>
            </w:tcMar>
            <w:vAlign w:val="center"/>
            <w:hideMark/>
          </w:tcPr>
          <w:p w14:paraId="5C3FCCC0"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69ED1D8"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65E51B1E" w14:textId="77777777" w:rsidR="00824D3F" w:rsidRPr="00B74C11" w:rsidRDefault="00824D3F" w:rsidP="004933AC">
            <w:pPr>
              <w:rPr>
                <w:rFonts w:ascii="Arial" w:hAnsi="Arial" w:cs="Arial"/>
                <w:sz w:val="24"/>
                <w:szCs w:val="24"/>
              </w:rPr>
            </w:pPr>
            <w:r w:rsidRPr="00B74C11">
              <w:rPr>
                <w:rFonts w:ascii="Arial" w:hAnsi="Arial" w:cs="Arial"/>
                <w:sz w:val="24"/>
                <w:szCs w:val="24"/>
              </w:rPr>
              <w:t xml:space="preserve">Oscar Mora Calderón </w:t>
            </w:r>
          </w:p>
        </w:tc>
      </w:tr>
      <w:tr w:rsidR="00824D3F" w:rsidRPr="00B74C11" w14:paraId="6E43F7DD" w14:textId="77777777" w:rsidTr="004933AC">
        <w:trPr>
          <w:trHeight w:val="309"/>
          <w:jc w:val="center"/>
        </w:trPr>
        <w:tc>
          <w:tcPr>
            <w:tcW w:w="351" w:type="pct"/>
            <w:shd w:val="clear" w:color="auto" w:fill="auto"/>
            <w:tcMar>
              <w:top w:w="15" w:type="dxa"/>
              <w:left w:w="56" w:type="dxa"/>
              <w:bottom w:w="0" w:type="dxa"/>
              <w:right w:w="56" w:type="dxa"/>
            </w:tcMar>
            <w:vAlign w:val="center"/>
            <w:hideMark/>
          </w:tcPr>
          <w:p w14:paraId="4ED2E9C5" w14:textId="77777777" w:rsidR="00824D3F" w:rsidRPr="00B74C11" w:rsidRDefault="00824D3F" w:rsidP="004933AC">
            <w:pPr>
              <w:pStyle w:val="NormalWeb"/>
              <w:spacing w:before="0" w:beforeAutospacing="0" w:after="0" w:afterAutospacing="0" w:line="276" w:lineRule="auto"/>
              <w:rPr>
                <w:rFonts w:ascii="Arial" w:hAnsi="Arial" w:cs="Arial"/>
              </w:rPr>
            </w:pPr>
            <w:r w:rsidRPr="00B74C11">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0C5F1292" w14:textId="77777777" w:rsidR="00824D3F" w:rsidRPr="00B74C11" w:rsidRDefault="00824D3F" w:rsidP="004933AC">
            <w:pPr>
              <w:pStyle w:val="NormalWeb"/>
              <w:spacing w:before="0" w:beforeAutospacing="0" w:after="0" w:afterAutospacing="0" w:line="276" w:lineRule="auto"/>
              <w:rPr>
                <w:rFonts w:ascii="Arial" w:hAnsi="Arial" w:cs="Arial"/>
                <w:b/>
                <w:bCs/>
              </w:rPr>
            </w:pPr>
            <w:r w:rsidRPr="00B74C11">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36582303" w14:textId="77777777" w:rsidR="00824D3F" w:rsidRPr="00B74C11" w:rsidRDefault="00824D3F" w:rsidP="004933AC">
            <w:pPr>
              <w:rPr>
                <w:rFonts w:ascii="Arial" w:hAnsi="Arial" w:cs="Arial"/>
                <w:sz w:val="24"/>
                <w:szCs w:val="24"/>
              </w:rPr>
            </w:pPr>
            <w:r w:rsidRPr="00B74C11">
              <w:rPr>
                <w:rFonts w:ascii="Arial" w:hAnsi="Arial" w:cs="Arial"/>
                <w:sz w:val="24"/>
                <w:szCs w:val="24"/>
              </w:rPr>
              <w:t>2/12/2020</w:t>
            </w:r>
          </w:p>
        </w:tc>
      </w:tr>
      <w:tr w:rsidR="00824D3F" w:rsidRPr="00B74C11" w14:paraId="0B4F3D7D" w14:textId="77777777" w:rsidTr="004933AC">
        <w:trPr>
          <w:trHeight w:val="309"/>
          <w:jc w:val="center"/>
        </w:trPr>
        <w:tc>
          <w:tcPr>
            <w:tcW w:w="351" w:type="pct"/>
            <w:shd w:val="clear" w:color="auto" w:fill="auto"/>
            <w:tcMar>
              <w:top w:w="15" w:type="dxa"/>
              <w:left w:w="56" w:type="dxa"/>
              <w:bottom w:w="0" w:type="dxa"/>
              <w:right w:w="56" w:type="dxa"/>
            </w:tcMar>
            <w:vAlign w:val="center"/>
          </w:tcPr>
          <w:p w14:paraId="4088C7F4"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5A6BC06B" w14:textId="77777777" w:rsidR="00824D3F" w:rsidRPr="00B74C11" w:rsidRDefault="00824D3F" w:rsidP="004933AC">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72C1AE79" w14:textId="77777777" w:rsidR="00824D3F" w:rsidRPr="00B74C11" w:rsidRDefault="00824D3F" w:rsidP="004933AC">
            <w:pPr>
              <w:rPr>
                <w:rFonts w:ascii="Arial" w:hAnsi="Arial" w:cs="Arial"/>
                <w:sz w:val="24"/>
                <w:szCs w:val="24"/>
              </w:rPr>
            </w:pPr>
          </w:p>
        </w:tc>
      </w:tr>
    </w:tbl>
    <w:p w14:paraId="79F69CAE" w14:textId="77777777" w:rsidR="00824D3F" w:rsidRPr="00B74C11" w:rsidRDefault="00824D3F" w:rsidP="00824D3F">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B74C11" w:rsidRDefault="008133ED" w:rsidP="00824D3F">
      <w:pPr>
        <w:rPr>
          <w:rFonts w:ascii="Arial" w:eastAsia="Arial" w:hAnsi="Arial" w:cs="Arial"/>
          <w:sz w:val="24"/>
          <w:szCs w:val="24"/>
        </w:rPr>
      </w:pPr>
    </w:p>
    <w:sectPr w:rsidR="008133ED" w:rsidRPr="00B74C11"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B5688" w14:textId="77777777" w:rsidR="00F04233" w:rsidRDefault="00F04233">
      <w:r>
        <w:separator/>
      </w:r>
    </w:p>
  </w:endnote>
  <w:endnote w:type="continuationSeparator" w:id="0">
    <w:p w14:paraId="187D9B51" w14:textId="77777777" w:rsidR="00F04233" w:rsidRDefault="00F04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FDC64" w14:textId="77777777" w:rsidR="00F04233" w:rsidRDefault="00F04233">
      <w:r>
        <w:separator/>
      </w:r>
    </w:p>
  </w:footnote>
  <w:footnote w:type="continuationSeparator" w:id="0">
    <w:p w14:paraId="7E5A03D0" w14:textId="77777777" w:rsidR="00F04233" w:rsidRDefault="00F042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D5E1B"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73806B75"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8D5E1B" w:rsidRPr="008D5E1B">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8D5E1B" w:rsidRPr="008D5E1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8193"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5165C"/>
    <w:rsid w:val="0005687E"/>
    <w:rsid w:val="00065729"/>
    <w:rsid w:val="0007039A"/>
    <w:rsid w:val="00076CEC"/>
    <w:rsid w:val="0008555D"/>
    <w:rsid w:val="00092359"/>
    <w:rsid w:val="000960C8"/>
    <w:rsid w:val="000B0256"/>
    <w:rsid w:val="000B2634"/>
    <w:rsid w:val="000C4C0F"/>
    <w:rsid w:val="000C5B32"/>
    <w:rsid w:val="000D07C2"/>
    <w:rsid w:val="000E31F1"/>
    <w:rsid w:val="000F0BC2"/>
    <w:rsid w:val="00107188"/>
    <w:rsid w:val="00125D36"/>
    <w:rsid w:val="00127E44"/>
    <w:rsid w:val="00131BB9"/>
    <w:rsid w:val="00134DB7"/>
    <w:rsid w:val="00143EB0"/>
    <w:rsid w:val="00153610"/>
    <w:rsid w:val="001558AF"/>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F14DF"/>
    <w:rsid w:val="002F7BBD"/>
    <w:rsid w:val="00317481"/>
    <w:rsid w:val="00324742"/>
    <w:rsid w:val="003304EE"/>
    <w:rsid w:val="00341799"/>
    <w:rsid w:val="00343FDE"/>
    <w:rsid w:val="00347BDC"/>
    <w:rsid w:val="00365D16"/>
    <w:rsid w:val="00372EC1"/>
    <w:rsid w:val="00376CEB"/>
    <w:rsid w:val="00381D79"/>
    <w:rsid w:val="00383E42"/>
    <w:rsid w:val="003926A0"/>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32CC"/>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703CD"/>
    <w:rsid w:val="005B1710"/>
    <w:rsid w:val="005B216F"/>
    <w:rsid w:val="005B51E3"/>
    <w:rsid w:val="005B5C8E"/>
    <w:rsid w:val="005C5E9B"/>
    <w:rsid w:val="005D1C5E"/>
    <w:rsid w:val="005D7A98"/>
    <w:rsid w:val="00603DFB"/>
    <w:rsid w:val="006050BD"/>
    <w:rsid w:val="00607945"/>
    <w:rsid w:val="00610D66"/>
    <w:rsid w:val="00625A59"/>
    <w:rsid w:val="006330FE"/>
    <w:rsid w:val="006376CD"/>
    <w:rsid w:val="00652390"/>
    <w:rsid w:val="006609A5"/>
    <w:rsid w:val="00662B67"/>
    <w:rsid w:val="00672D07"/>
    <w:rsid w:val="006757E9"/>
    <w:rsid w:val="00682219"/>
    <w:rsid w:val="00690022"/>
    <w:rsid w:val="006B3E8D"/>
    <w:rsid w:val="006B6801"/>
    <w:rsid w:val="006C641B"/>
    <w:rsid w:val="006D7375"/>
    <w:rsid w:val="006E1A97"/>
    <w:rsid w:val="006E2446"/>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4D3F"/>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D5E1B"/>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E3163"/>
    <w:rsid w:val="009F16F8"/>
    <w:rsid w:val="009F559F"/>
    <w:rsid w:val="00A146C3"/>
    <w:rsid w:val="00A22466"/>
    <w:rsid w:val="00A4070F"/>
    <w:rsid w:val="00A603D1"/>
    <w:rsid w:val="00A72C75"/>
    <w:rsid w:val="00A74B54"/>
    <w:rsid w:val="00A81DED"/>
    <w:rsid w:val="00A85318"/>
    <w:rsid w:val="00A91461"/>
    <w:rsid w:val="00A926A1"/>
    <w:rsid w:val="00A926FB"/>
    <w:rsid w:val="00A92928"/>
    <w:rsid w:val="00A93C10"/>
    <w:rsid w:val="00A96C3D"/>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4C11"/>
    <w:rsid w:val="00B76E14"/>
    <w:rsid w:val="00B80F31"/>
    <w:rsid w:val="00B84DAA"/>
    <w:rsid w:val="00B85886"/>
    <w:rsid w:val="00B91080"/>
    <w:rsid w:val="00BD260B"/>
    <w:rsid w:val="00BD4F90"/>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08D6"/>
    <w:rsid w:val="00D24142"/>
    <w:rsid w:val="00D26119"/>
    <w:rsid w:val="00D3200F"/>
    <w:rsid w:val="00D33730"/>
    <w:rsid w:val="00D34843"/>
    <w:rsid w:val="00D47D22"/>
    <w:rsid w:val="00D514BB"/>
    <w:rsid w:val="00D53536"/>
    <w:rsid w:val="00D55D77"/>
    <w:rsid w:val="00D74876"/>
    <w:rsid w:val="00D86401"/>
    <w:rsid w:val="00D87E1D"/>
    <w:rsid w:val="00D94E64"/>
    <w:rsid w:val="00DB197B"/>
    <w:rsid w:val="00DC550A"/>
    <w:rsid w:val="00DD2AEF"/>
    <w:rsid w:val="00DE003A"/>
    <w:rsid w:val="00DE2CF0"/>
    <w:rsid w:val="00DF4D56"/>
    <w:rsid w:val="00E167A9"/>
    <w:rsid w:val="00E16E10"/>
    <w:rsid w:val="00E31559"/>
    <w:rsid w:val="00E401FA"/>
    <w:rsid w:val="00E71461"/>
    <w:rsid w:val="00E878A5"/>
    <w:rsid w:val="00E878D4"/>
    <w:rsid w:val="00E91DFB"/>
    <w:rsid w:val="00E93327"/>
    <w:rsid w:val="00E950CF"/>
    <w:rsid w:val="00EB2CDA"/>
    <w:rsid w:val="00EC6A77"/>
    <w:rsid w:val="00EE3AAB"/>
    <w:rsid w:val="00EF4852"/>
    <w:rsid w:val="00F03386"/>
    <w:rsid w:val="00F04233"/>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14:docId w14:val="7681476F"/>
  <w15:docId w15:val="{63EEC82F-61F8-44B6-827D-94F6D64B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29565">
      <w:bodyDiv w:val="1"/>
      <w:marLeft w:val="0"/>
      <w:marRight w:val="0"/>
      <w:marTop w:val="0"/>
      <w:marBottom w:val="0"/>
      <w:divBdr>
        <w:top w:val="none" w:sz="0" w:space="0" w:color="auto"/>
        <w:left w:val="none" w:sz="0" w:space="0" w:color="auto"/>
        <w:bottom w:val="none" w:sz="0" w:space="0" w:color="auto"/>
        <w:right w:val="none" w:sz="0" w:space="0" w:color="auto"/>
      </w:divBdr>
      <w:divsChild>
        <w:div w:id="916935941">
          <w:marLeft w:val="0"/>
          <w:marRight w:val="0"/>
          <w:marTop w:val="0"/>
          <w:marBottom w:val="0"/>
          <w:divBdr>
            <w:top w:val="none" w:sz="0" w:space="0" w:color="auto"/>
            <w:left w:val="none" w:sz="0" w:space="0" w:color="auto"/>
            <w:bottom w:val="none" w:sz="0" w:space="0" w:color="auto"/>
            <w:right w:val="none" w:sz="0" w:space="0" w:color="auto"/>
          </w:divBdr>
        </w:div>
        <w:div w:id="841428578">
          <w:marLeft w:val="0"/>
          <w:marRight w:val="0"/>
          <w:marTop w:val="0"/>
          <w:marBottom w:val="0"/>
          <w:divBdr>
            <w:top w:val="none" w:sz="0" w:space="0" w:color="auto"/>
            <w:left w:val="none" w:sz="0" w:space="0" w:color="auto"/>
            <w:bottom w:val="none" w:sz="0" w:space="0" w:color="auto"/>
            <w:right w:val="none" w:sz="0" w:space="0" w:color="auto"/>
          </w:divBdr>
        </w:div>
      </w:divsChild>
    </w:div>
    <w:div w:id="571426254">
      <w:bodyDiv w:val="1"/>
      <w:marLeft w:val="0"/>
      <w:marRight w:val="0"/>
      <w:marTop w:val="0"/>
      <w:marBottom w:val="0"/>
      <w:divBdr>
        <w:top w:val="none" w:sz="0" w:space="0" w:color="auto"/>
        <w:left w:val="none" w:sz="0" w:space="0" w:color="auto"/>
        <w:bottom w:val="none" w:sz="0" w:space="0" w:color="auto"/>
        <w:right w:val="none" w:sz="0" w:space="0" w:color="auto"/>
      </w:divBdr>
      <w:divsChild>
        <w:div w:id="437916568">
          <w:marLeft w:val="0"/>
          <w:marRight w:val="0"/>
          <w:marTop w:val="0"/>
          <w:marBottom w:val="0"/>
          <w:divBdr>
            <w:top w:val="none" w:sz="0" w:space="0" w:color="auto"/>
            <w:left w:val="none" w:sz="0" w:space="0" w:color="auto"/>
            <w:bottom w:val="none" w:sz="0" w:space="0" w:color="auto"/>
            <w:right w:val="none" w:sz="0" w:space="0" w:color="auto"/>
          </w:divBdr>
        </w:div>
        <w:div w:id="1176968068">
          <w:marLeft w:val="0"/>
          <w:marRight w:val="0"/>
          <w:marTop w:val="0"/>
          <w:marBottom w:val="0"/>
          <w:divBdr>
            <w:top w:val="none" w:sz="0" w:space="0" w:color="auto"/>
            <w:left w:val="none" w:sz="0" w:space="0" w:color="auto"/>
            <w:bottom w:val="none" w:sz="0" w:space="0" w:color="auto"/>
            <w:right w:val="none" w:sz="0" w:space="0" w:color="auto"/>
          </w:divBdr>
        </w:div>
      </w:divsChild>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4197-E8B6-4E7A-ACC5-05279BF52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935</Words>
  <Characters>5218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19</cp:revision>
  <cp:lastPrinted>2013-08-23T16:35:00Z</cp:lastPrinted>
  <dcterms:created xsi:type="dcterms:W3CDTF">2020-12-04T13:06:00Z</dcterms:created>
  <dcterms:modified xsi:type="dcterms:W3CDTF">2020-12-12T22:38:00Z</dcterms:modified>
</cp:coreProperties>
</file>