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175E59" w:rsidRDefault="003B1773" w:rsidP="003B1773">
      <w:pPr>
        <w:jc w:val="both"/>
        <w:rPr>
          <w:rFonts w:ascii="Arial" w:hAnsi="Arial" w:cs="Arial"/>
          <w:sz w:val="24"/>
          <w:szCs w:val="24"/>
        </w:rPr>
      </w:pPr>
    </w:p>
    <w:p w14:paraId="0B029E15"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hAnsi="Arial" w:cs="Arial"/>
          <w:b/>
          <w:bCs/>
        </w:rPr>
        <w:t>1.</w:t>
      </w:r>
      <w:r w:rsidRPr="00175E59">
        <w:rPr>
          <w:rFonts w:ascii="Arial" w:hAnsi="Arial" w:cs="Arial"/>
        </w:rPr>
        <w:t xml:space="preserve"> </w:t>
      </w:r>
      <w:r w:rsidRPr="00175E59">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175E59"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175E59" w:rsidRDefault="003B1773" w:rsidP="003B1773">
            <w:pPr>
              <w:pStyle w:val="NormalWeb"/>
              <w:spacing w:before="0" w:beforeAutospacing="0" w:after="0" w:afterAutospacing="0" w:line="276" w:lineRule="auto"/>
              <w:jc w:val="both"/>
              <w:rPr>
                <w:rFonts w:ascii="Arial" w:hAnsi="Arial" w:cs="Arial"/>
              </w:rPr>
            </w:pPr>
            <w:r w:rsidRPr="00175E59">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175E59" w:rsidRDefault="003B1773" w:rsidP="003B1773">
            <w:pPr>
              <w:pStyle w:val="NormalWeb"/>
              <w:spacing w:before="0" w:beforeAutospacing="0" w:after="0" w:afterAutospacing="0" w:line="276" w:lineRule="auto"/>
              <w:jc w:val="both"/>
              <w:rPr>
                <w:rFonts w:ascii="Arial" w:hAnsi="Arial" w:cs="Arial"/>
              </w:rPr>
            </w:pPr>
            <w:r w:rsidRPr="00175E59">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74BD2B45" w:rsidR="003B1773" w:rsidRPr="00175E59" w:rsidRDefault="00F07A23" w:rsidP="003B1773">
            <w:pPr>
              <w:jc w:val="both"/>
              <w:rPr>
                <w:rFonts w:ascii="Arial" w:hAnsi="Arial" w:cs="Arial"/>
                <w:sz w:val="24"/>
                <w:szCs w:val="24"/>
              </w:rPr>
            </w:pPr>
            <w:r w:rsidRPr="00175E59">
              <w:rPr>
                <w:rFonts w:ascii="Arial" w:hAnsi="Arial" w:cs="Arial"/>
                <w:sz w:val="24"/>
                <w:szCs w:val="24"/>
              </w:rPr>
              <w:t>REGISTROS</w:t>
            </w:r>
            <w:r w:rsidR="0038549D" w:rsidRPr="00175E59">
              <w:rPr>
                <w:rFonts w:ascii="Arial" w:hAnsi="Arial" w:cs="Arial"/>
                <w:sz w:val="24"/>
                <w:szCs w:val="24"/>
              </w:rPr>
              <w:t xml:space="preserve"> </w:t>
            </w:r>
            <w:r w:rsidR="00B914D5" w:rsidRPr="00175E59">
              <w:rPr>
                <w:rFonts w:ascii="Arial" w:hAnsi="Arial" w:cs="Arial"/>
                <w:sz w:val="24"/>
                <w:szCs w:val="24"/>
              </w:rPr>
              <w:t>/</w:t>
            </w:r>
            <w:r w:rsidR="000D633E" w:rsidRPr="00175E59">
              <w:rPr>
                <w:rFonts w:ascii="Arial" w:hAnsi="Arial" w:cs="Arial"/>
                <w:sz w:val="24"/>
                <w:szCs w:val="24"/>
              </w:rPr>
              <w:t xml:space="preserve"> </w:t>
            </w:r>
            <w:r w:rsidR="00175E59" w:rsidRPr="00175E59">
              <w:rPr>
                <w:rFonts w:ascii="Arial" w:hAnsi="Arial" w:cs="Arial"/>
                <w:sz w:val="24"/>
                <w:szCs w:val="24"/>
              </w:rPr>
              <w:t>Registro de Transferencia Intelectual</w:t>
            </w:r>
          </w:p>
        </w:tc>
      </w:tr>
      <w:tr w:rsidR="003B1773" w:rsidRPr="00175E59"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175E59" w:rsidRDefault="003B1773" w:rsidP="003B1773">
            <w:pPr>
              <w:pStyle w:val="NormalWeb"/>
              <w:spacing w:before="0" w:beforeAutospacing="0" w:after="0" w:afterAutospacing="0" w:line="276" w:lineRule="auto"/>
              <w:jc w:val="both"/>
              <w:rPr>
                <w:rFonts w:ascii="Arial" w:hAnsi="Arial" w:cs="Arial"/>
              </w:rPr>
            </w:pPr>
            <w:r w:rsidRPr="00175E59">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175E59" w:rsidRDefault="003B1773" w:rsidP="003B1773">
            <w:pPr>
              <w:pStyle w:val="NormalWeb"/>
              <w:spacing w:before="0" w:beforeAutospacing="0" w:after="0" w:afterAutospacing="0" w:line="276" w:lineRule="auto"/>
              <w:jc w:val="both"/>
              <w:rPr>
                <w:rFonts w:ascii="Arial" w:hAnsi="Arial" w:cs="Arial"/>
              </w:rPr>
            </w:pPr>
            <w:r w:rsidRPr="00175E59">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4C744C16" w:rsidR="003B1773" w:rsidRPr="00175E59" w:rsidRDefault="00175E59" w:rsidP="00BB531C">
            <w:pPr>
              <w:jc w:val="both"/>
              <w:rPr>
                <w:rFonts w:ascii="Arial" w:hAnsi="Arial" w:cs="Arial"/>
                <w:sz w:val="24"/>
                <w:szCs w:val="24"/>
              </w:rPr>
            </w:pPr>
            <w:r w:rsidRPr="00175E59">
              <w:rPr>
                <w:rFonts w:ascii="Arial" w:hAnsi="Arial" w:cs="Arial"/>
                <w:sz w:val="24"/>
                <w:szCs w:val="24"/>
              </w:rPr>
              <w:t>Los documentos de esta subserie contienen información sobre el fomento de la innovación y el emprendimiento y la obtención de registros y patentes que posicionen la imagen de la UNAD en el orden regional, nacional y global, así como la consolidación de patentes de orden regional, nacional y global, en concordancia con lo establecido en el Acuerdo 039 del 3 de diciembre de 2019  “Por el cual se modifica el Estatuto Organizacional de la Universidad Nacional Abierta y a Distancia (UNAD) Artículo 39. Funciones de la Vicerrectoría de Innovación y Emprendimiento literal. b) Gestionar los reconocimientos y las patentes tecnológicas derivadas del trabajo intersistémico, en particular, con las Escuelas, Institutos y programas académicos que beneficien a los generadores de innovación y emprendimiento dentro y fuera del contexto de la Universidad.</w:t>
            </w:r>
          </w:p>
        </w:tc>
      </w:tr>
      <w:tr w:rsidR="003B1773" w:rsidRPr="00175E59"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5C36A3FC" w:rsidR="00142965" w:rsidRPr="00175E59" w:rsidRDefault="00175E59" w:rsidP="003B1773">
            <w:pPr>
              <w:jc w:val="both"/>
              <w:rPr>
                <w:rFonts w:ascii="Arial" w:hAnsi="Arial" w:cs="Arial"/>
                <w:sz w:val="24"/>
                <w:szCs w:val="24"/>
              </w:rPr>
            </w:pPr>
            <w:r w:rsidRPr="00175E59">
              <w:rPr>
                <w:rFonts w:ascii="Arial" w:hAnsi="Arial" w:cs="Arial"/>
                <w:sz w:val="24"/>
                <w:szCs w:val="24"/>
              </w:rPr>
              <w:t>VICERRECTORIA DE INNOVACIÓN Y EMPRENDIMIENTO 107</w:t>
            </w:r>
          </w:p>
        </w:tc>
      </w:tr>
      <w:tr w:rsidR="003B1773" w:rsidRPr="00175E59"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175E59" w:rsidRDefault="003B1773" w:rsidP="003B1773">
            <w:pPr>
              <w:jc w:val="both"/>
              <w:rPr>
                <w:rFonts w:ascii="Arial" w:hAnsi="Arial" w:cs="Arial"/>
                <w:b/>
                <w:bCs/>
                <w:sz w:val="24"/>
                <w:szCs w:val="24"/>
              </w:rPr>
            </w:pPr>
            <w:r w:rsidRPr="00175E59">
              <w:rPr>
                <w:rFonts w:ascii="Arial" w:hAnsi="Arial" w:cs="Arial"/>
                <w:b/>
                <w:bCs/>
                <w:sz w:val="24"/>
                <w:szCs w:val="24"/>
              </w:rPr>
              <w:t xml:space="preserve">Desde: </w:t>
            </w:r>
          </w:p>
        </w:tc>
        <w:tc>
          <w:tcPr>
            <w:tcW w:w="854" w:type="pct"/>
            <w:shd w:val="clear" w:color="auto" w:fill="auto"/>
            <w:vAlign w:val="center"/>
          </w:tcPr>
          <w:p w14:paraId="1CFABB83" w14:textId="77777777" w:rsidR="003B1773" w:rsidRPr="00175E59"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175E59" w:rsidRDefault="003B1773" w:rsidP="003B1773">
            <w:pPr>
              <w:jc w:val="both"/>
              <w:rPr>
                <w:rFonts w:ascii="Arial" w:hAnsi="Arial" w:cs="Arial"/>
                <w:b/>
                <w:bCs/>
                <w:sz w:val="24"/>
                <w:szCs w:val="24"/>
              </w:rPr>
            </w:pPr>
            <w:r w:rsidRPr="00175E59">
              <w:rPr>
                <w:rFonts w:ascii="Arial" w:hAnsi="Arial" w:cs="Arial"/>
                <w:b/>
                <w:bCs/>
                <w:sz w:val="24"/>
                <w:szCs w:val="24"/>
              </w:rPr>
              <w:t>Hasta:</w:t>
            </w:r>
          </w:p>
        </w:tc>
        <w:tc>
          <w:tcPr>
            <w:tcW w:w="853" w:type="pct"/>
            <w:shd w:val="clear" w:color="auto" w:fill="auto"/>
            <w:vAlign w:val="center"/>
          </w:tcPr>
          <w:p w14:paraId="26661A2F" w14:textId="77777777" w:rsidR="003B1773" w:rsidRPr="00175E59" w:rsidRDefault="003B1773" w:rsidP="003B1773">
            <w:pPr>
              <w:jc w:val="both"/>
              <w:rPr>
                <w:rFonts w:ascii="Arial" w:hAnsi="Arial" w:cs="Arial"/>
                <w:sz w:val="24"/>
                <w:szCs w:val="24"/>
              </w:rPr>
            </w:pPr>
          </w:p>
        </w:tc>
      </w:tr>
    </w:tbl>
    <w:p w14:paraId="5700AC1A" w14:textId="77777777" w:rsidR="003B1773" w:rsidRPr="00175E59"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175E59" w:rsidRDefault="003B1773" w:rsidP="003B1773">
      <w:pPr>
        <w:pStyle w:val="NormalWeb"/>
        <w:spacing w:before="0" w:beforeAutospacing="0" w:after="0" w:afterAutospacing="0" w:line="276" w:lineRule="auto"/>
        <w:jc w:val="both"/>
        <w:rPr>
          <w:rFonts w:ascii="Arial" w:hAnsi="Arial" w:cs="Arial"/>
        </w:rPr>
      </w:pPr>
      <w:r w:rsidRPr="00175E59">
        <w:rPr>
          <w:rFonts w:ascii="Arial" w:hAnsi="Arial" w:cs="Arial"/>
          <w:b/>
          <w:bCs/>
        </w:rPr>
        <w:t xml:space="preserve">2. </w:t>
      </w:r>
      <w:r w:rsidRPr="00175E59">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175E59"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175E59" w:rsidRDefault="003B1773" w:rsidP="003B1773">
            <w:pPr>
              <w:pStyle w:val="NormalWeb"/>
              <w:spacing w:before="0" w:beforeAutospacing="0" w:after="0" w:afterAutospacing="0" w:line="276" w:lineRule="auto"/>
              <w:jc w:val="both"/>
              <w:rPr>
                <w:rFonts w:ascii="Arial" w:hAnsi="Arial" w:cs="Arial"/>
              </w:rPr>
            </w:pPr>
            <w:r w:rsidRPr="00175E59">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175E59" w:rsidRDefault="003B1773" w:rsidP="003B1773">
            <w:pPr>
              <w:pStyle w:val="NormalWeb"/>
              <w:spacing w:before="0" w:beforeAutospacing="0" w:after="0" w:afterAutospacing="0" w:line="276" w:lineRule="auto"/>
              <w:jc w:val="both"/>
              <w:rPr>
                <w:rFonts w:ascii="Arial" w:hAnsi="Arial" w:cs="Arial"/>
              </w:rPr>
            </w:pPr>
            <w:r w:rsidRPr="00175E59">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5CBACDCC" w:rsidR="003B1773" w:rsidRPr="00175E59" w:rsidRDefault="00175E59" w:rsidP="00175E59">
            <w:pPr>
              <w:autoSpaceDE w:val="0"/>
              <w:autoSpaceDN w:val="0"/>
              <w:adjustRightInd w:val="0"/>
              <w:rPr>
                <w:rFonts w:ascii="Arial" w:hAnsi="Arial" w:cs="Arial"/>
                <w:sz w:val="24"/>
                <w:szCs w:val="24"/>
                <w:lang w:val="es-CO" w:eastAsia="es-CO"/>
              </w:rPr>
            </w:pPr>
            <w:r w:rsidRPr="00175E59">
              <w:rPr>
                <w:rFonts w:ascii="Arial" w:hAnsi="Arial" w:cs="Arial"/>
                <w:sz w:val="24"/>
                <w:szCs w:val="24"/>
                <w:lang w:val="es-CO" w:eastAsia="es-CO"/>
              </w:rPr>
              <w:t>Hace referencia a la inscripción o relación de reseñas, ingresadas en una base de datos de fácil consulta.</w:t>
            </w:r>
          </w:p>
        </w:tc>
      </w:tr>
      <w:tr w:rsidR="003B1773" w:rsidRPr="00175E59"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175E59" w:rsidRDefault="003B1773" w:rsidP="003B1773">
            <w:pPr>
              <w:pStyle w:val="NormalWeb"/>
              <w:spacing w:before="0" w:beforeAutospacing="0" w:after="0" w:afterAutospacing="0" w:line="276" w:lineRule="auto"/>
              <w:jc w:val="both"/>
              <w:rPr>
                <w:rFonts w:ascii="Arial" w:hAnsi="Arial" w:cs="Arial"/>
                <w:b/>
                <w:bCs/>
              </w:rPr>
            </w:pPr>
            <w:r w:rsidRPr="00175E59">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175E59" w:rsidRDefault="003B1773" w:rsidP="003B1773">
            <w:pPr>
              <w:pStyle w:val="NormalWeb"/>
              <w:spacing w:before="0" w:beforeAutospacing="0" w:after="0" w:afterAutospacing="0" w:line="276" w:lineRule="auto"/>
              <w:jc w:val="both"/>
              <w:rPr>
                <w:rFonts w:ascii="Arial" w:hAnsi="Arial" w:cs="Arial"/>
              </w:rPr>
            </w:pPr>
            <w:r w:rsidRPr="00175E59">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00D6666E"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Solicitud de Registro y Cesión de Derechos de Autor.</w:t>
            </w:r>
          </w:p>
          <w:p w14:paraId="3C244C6C"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Solicitud Registro y Cesión de Derechos de Autor.</w:t>
            </w:r>
          </w:p>
          <w:p w14:paraId="5794A97F"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Copia de la invención o desarrollo  (obra literaria, obra musical, obra audiovisual, obra artística, software)</w:t>
            </w:r>
          </w:p>
          <w:p w14:paraId="7D373F68"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Contrato de cesión de derechos patrimoniales</w:t>
            </w:r>
          </w:p>
          <w:p w14:paraId="4B88638E"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Comunicación Correo electrónico de notificación.</w:t>
            </w:r>
          </w:p>
          <w:p w14:paraId="4A601248"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Comunicación de radicación de la solicitud ante la DNDA</w:t>
            </w:r>
          </w:p>
          <w:p w14:paraId="62AA29DF"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Certificado en línea en el repositorio del Sistema de Información</w:t>
            </w:r>
          </w:p>
          <w:p w14:paraId="3515486C"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Formato diligenciado  de Solicitud asesoría técnica patente- pdf -papel</w:t>
            </w:r>
          </w:p>
          <w:p w14:paraId="0C882D1B"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Correo electrónico de solicitud.</w:t>
            </w:r>
          </w:p>
          <w:p w14:paraId="5F371E6D"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Concepto técnico emitido líder zonal de innovación y emprendimiento</w:t>
            </w:r>
          </w:p>
          <w:p w14:paraId="60972F96"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Correo electrónico de notificación concepto favorable y solicitud de documentación soporte.</w:t>
            </w:r>
          </w:p>
          <w:p w14:paraId="23096E3A"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Correo con documentación de soporte</w:t>
            </w:r>
          </w:p>
          <w:p w14:paraId="3BD66DA7" w14:textId="548D89B7" w:rsidR="00175E59" w:rsidRPr="00175E59" w:rsidRDefault="00175E59" w:rsidP="00175E59">
            <w:pPr>
              <w:jc w:val="both"/>
              <w:rPr>
                <w:rFonts w:ascii="Arial" w:hAnsi="Arial" w:cs="Arial"/>
                <w:sz w:val="24"/>
                <w:szCs w:val="24"/>
              </w:rPr>
            </w:pPr>
            <w:r w:rsidRPr="00175E59">
              <w:rPr>
                <w:rFonts w:ascii="Arial" w:hAnsi="Arial" w:cs="Arial"/>
                <w:sz w:val="24"/>
                <w:szCs w:val="24"/>
              </w:rPr>
              <w:t xml:space="preserve">Concepto técnico emitido por </w:t>
            </w:r>
            <w:bookmarkStart w:id="0" w:name="_GoBack"/>
            <w:bookmarkEnd w:id="0"/>
            <w:r w:rsidR="00B859AF" w:rsidRPr="00175E59">
              <w:rPr>
                <w:rFonts w:ascii="Arial" w:hAnsi="Arial" w:cs="Arial"/>
                <w:sz w:val="24"/>
                <w:szCs w:val="24"/>
              </w:rPr>
              <w:t>el líder</w:t>
            </w:r>
            <w:r w:rsidRPr="00175E59">
              <w:rPr>
                <w:rFonts w:ascii="Arial" w:hAnsi="Arial" w:cs="Arial"/>
                <w:sz w:val="24"/>
                <w:szCs w:val="24"/>
              </w:rPr>
              <w:t xml:space="preserve"> de innovación zonal VIEM y documentos soportes de la patente remitido a Secretaría General.</w:t>
            </w:r>
          </w:p>
          <w:p w14:paraId="2C397D8E"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Concepto jurídico emitido por la Secretaría General</w:t>
            </w:r>
          </w:p>
          <w:p w14:paraId="34927AEA"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Correo electrónico de notificación</w:t>
            </w:r>
          </w:p>
          <w:p w14:paraId="7282440A"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Contrato de cesión de derechos patrimoniales firmado.</w:t>
            </w:r>
          </w:p>
          <w:p w14:paraId="0A791618"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Correo con contrato de cesión de derechos patrimoniales firmado.</w:t>
            </w:r>
          </w:p>
          <w:p w14:paraId="62513DE8"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Petitorio elaborado y documentos soportes para la presentación de patente ante la SIC.</w:t>
            </w:r>
          </w:p>
          <w:p w14:paraId="61C0C70B"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Oficio de radicado de la solicitud de patente ante la SIC.</w:t>
            </w:r>
          </w:p>
          <w:p w14:paraId="3BA0E210"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Correo electrónicos de notificación.</w:t>
            </w:r>
          </w:p>
          <w:p w14:paraId="260D5D53" w14:textId="77777777" w:rsidR="00175E59" w:rsidRPr="00175E59" w:rsidRDefault="00175E59" w:rsidP="00175E59">
            <w:pPr>
              <w:jc w:val="both"/>
              <w:rPr>
                <w:rFonts w:ascii="Arial" w:hAnsi="Arial" w:cs="Arial"/>
                <w:sz w:val="24"/>
                <w:szCs w:val="24"/>
              </w:rPr>
            </w:pPr>
            <w:r w:rsidRPr="00175E59">
              <w:rPr>
                <w:rFonts w:ascii="Arial" w:hAnsi="Arial" w:cs="Arial"/>
                <w:sz w:val="24"/>
                <w:szCs w:val="24"/>
              </w:rPr>
              <w:t>Documento de concesión de la patente.</w:t>
            </w:r>
          </w:p>
          <w:p w14:paraId="5849CDB5" w14:textId="69C20700" w:rsidR="00142965" w:rsidRPr="00175E59" w:rsidRDefault="00175E59" w:rsidP="00175E59">
            <w:pPr>
              <w:jc w:val="both"/>
              <w:rPr>
                <w:rFonts w:ascii="Arial" w:hAnsi="Arial" w:cs="Arial"/>
                <w:sz w:val="24"/>
                <w:szCs w:val="24"/>
              </w:rPr>
            </w:pPr>
            <w:r w:rsidRPr="00175E59">
              <w:rPr>
                <w:rFonts w:ascii="Arial" w:hAnsi="Arial" w:cs="Arial"/>
                <w:sz w:val="24"/>
                <w:szCs w:val="24"/>
              </w:rPr>
              <w:t>Registro en el Sistema de Información y publicación en página web</w:t>
            </w:r>
          </w:p>
        </w:tc>
      </w:tr>
      <w:tr w:rsidR="003B1773" w:rsidRPr="00175E59"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175E59" w:rsidRDefault="003B1773" w:rsidP="003B1773">
            <w:pPr>
              <w:pStyle w:val="NormalWeb"/>
              <w:spacing w:before="0" w:beforeAutospacing="0" w:after="0" w:afterAutospacing="0" w:line="276" w:lineRule="auto"/>
              <w:jc w:val="both"/>
              <w:rPr>
                <w:rFonts w:ascii="Arial" w:hAnsi="Arial" w:cs="Arial"/>
                <w:b/>
                <w:bCs/>
              </w:rPr>
            </w:pPr>
            <w:r w:rsidRPr="00175E59">
              <w:rPr>
                <w:rFonts w:ascii="Arial" w:hAnsi="Arial" w:cs="Arial"/>
                <w:b/>
                <w:bCs/>
              </w:rPr>
              <w:lastRenderedPageBreak/>
              <w:t>2.3</w:t>
            </w:r>
          </w:p>
        </w:tc>
        <w:tc>
          <w:tcPr>
            <w:tcW w:w="1039" w:type="pct"/>
            <w:shd w:val="clear" w:color="auto" w:fill="auto"/>
            <w:tcMar>
              <w:top w:w="15" w:type="dxa"/>
              <w:left w:w="56" w:type="dxa"/>
              <w:bottom w:w="0" w:type="dxa"/>
              <w:right w:w="56" w:type="dxa"/>
            </w:tcMar>
            <w:vAlign w:val="center"/>
          </w:tcPr>
          <w:p w14:paraId="4BADC64E"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175E59" w:rsidRDefault="003B1773" w:rsidP="003B1773">
            <w:pPr>
              <w:jc w:val="both"/>
              <w:rPr>
                <w:rFonts w:ascii="Arial" w:hAnsi="Arial" w:cs="Arial"/>
                <w:sz w:val="24"/>
                <w:szCs w:val="24"/>
              </w:rPr>
            </w:pPr>
            <w:r w:rsidRPr="00175E59">
              <w:rPr>
                <w:rFonts w:ascii="Arial" w:eastAsia="Arial" w:hAnsi="Arial" w:cs="Arial"/>
                <w:sz w:val="24"/>
                <w:szCs w:val="24"/>
              </w:rPr>
              <w:t>Papel-PDF</w:t>
            </w:r>
          </w:p>
        </w:tc>
      </w:tr>
      <w:tr w:rsidR="003B1773" w:rsidRPr="00175E59"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175E59" w:rsidRDefault="003B1773" w:rsidP="003B1773">
            <w:pPr>
              <w:pStyle w:val="NormalWeb"/>
              <w:spacing w:before="0" w:beforeAutospacing="0" w:after="0" w:afterAutospacing="0" w:line="276" w:lineRule="auto"/>
              <w:jc w:val="both"/>
              <w:rPr>
                <w:rFonts w:ascii="Arial" w:hAnsi="Arial" w:cs="Arial"/>
                <w:b/>
                <w:bCs/>
              </w:rPr>
            </w:pPr>
            <w:r w:rsidRPr="00175E59">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175E59" w:rsidRDefault="003B1773" w:rsidP="003B1773">
            <w:pPr>
              <w:jc w:val="both"/>
              <w:rPr>
                <w:rFonts w:ascii="Arial" w:hAnsi="Arial" w:cs="Arial"/>
                <w:sz w:val="24"/>
                <w:szCs w:val="24"/>
              </w:rPr>
            </w:pPr>
            <w:r w:rsidRPr="00175E59">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175E59"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175E59" w:rsidRDefault="003B1773" w:rsidP="003B1773">
            <w:pPr>
              <w:pStyle w:val="NormalWeb"/>
              <w:spacing w:before="0" w:beforeAutospacing="0" w:after="0" w:afterAutospacing="0" w:line="276" w:lineRule="auto"/>
              <w:jc w:val="both"/>
              <w:rPr>
                <w:rFonts w:ascii="Arial" w:hAnsi="Arial" w:cs="Arial"/>
                <w:b/>
                <w:bCs/>
              </w:rPr>
            </w:pPr>
            <w:r w:rsidRPr="00175E59">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175E59" w:rsidRDefault="003B1773" w:rsidP="003B1773">
            <w:pPr>
              <w:jc w:val="both"/>
              <w:rPr>
                <w:rFonts w:ascii="Arial" w:hAnsi="Arial" w:cs="Arial"/>
                <w:b/>
                <w:bCs/>
                <w:sz w:val="24"/>
                <w:szCs w:val="24"/>
              </w:rPr>
            </w:pPr>
            <w:r w:rsidRPr="00175E59">
              <w:rPr>
                <w:rFonts w:ascii="Arial" w:hAnsi="Arial" w:cs="Arial"/>
                <w:b/>
                <w:bCs/>
                <w:sz w:val="24"/>
                <w:szCs w:val="24"/>
              </w:rPr>
              <w:t>Administrativo:</w:t>
            </w:r>
          </w:p>
        </w:tc>
        <w:tc>
          <w:tcPr>
            <w:tcW w:w="909" w:type="pct"/>
            <w:shd w:val="clear" w:color="auto" w:fill="auto"/>
            <w:vAlign w:val="center"/>
          </w:tcPr>
          <w:p w14:paraId="6478EF64" w14:textId="77777777" w:rsidR="003B1773" w:rsidRPr="00175E59" w:rsidRDefault="003B1773" w:rsidP="003B1773">
            <w:pPr>
              <w:jc w:val="both"/>
              <w:rPr>
                <w:rFonts w:ascii="Arial" w:hAnsi="Arial" w:cs="Arial"/>
                <w:b/>
                <w:bCs/>
                <w:sz w:val="24"/>
                <w:szCs w:val="24"/>
              </w:rPr>
            </w:pPr>
            <w:r w:rsidRPr="00175E59">
              <w:rPr>
                <w:rFonts w:ascii="Arial" w:hAnsi="Arial" w:cs="Arial"/>
                <w:b/>
                <w:bCs/>
                <w:sz w:val="24"/>
                <w:szCs w:val="24"/>
              </w:rPr>
              <w:t>Legal y/o Jurídico:</w:t>
            </w:r>
          </w:p>
        </w:tc>
        <w:tc>
          <w:tcPr>
            <w:tcW w:w="938" w:type="pct"/>
            <w:shd w:val="clear" w:color="auto" w:fill="auto"/>
            <w:vAlign w:val="center"/>
          </w:tcPr>
          <w:p w14:paraId="0E84B289" w14:textId="77777777" w:rsidR="003B1773" w:rsidRPr="00175E59" w:rsidRDefault="003B1773" w:rsidP="003B1773">
            <w:pPr>
              <w:jc w:val="both"/>
              <w:rPr>
                <w:rFonts w:ascii="Arial" w:hAnsi="Arial" w:cs="Arial"/>
                <w:b/>
                <w:bCs/>
                <w:sz w:val="24"/>
                <w:szCs w:val="24"/>
              </w:rPr>
            </w:pPr>
            <w:r w:rsidRPr="00175E59">
              <w:rPr>
                <w:rFonts w:ascii="Arial" w:hAnsi="Arial" w:cs="Arial"/>
                <w:b/>
                <w:bCs/>
                <w:sz w:val="24"/>
                <w:szCs w:val="24"/>
              </w:rPr>
              <w:t>Contable:</w:t>
            </w:r>
          </w:p>
        </w:tc>
        <w:tc>
          <w:tcPr>
            <w:tcW w:w="853" w:type="pct"/>
            <w:shd w:val="clear" w:color="auto" w:fill="auto"/>
            <w:vAlign w:val="center"/>
          </w:tcPr>
          <w:p w14:paraId="13C1F821" w14:textId="77777777" w:rsidR="003B1773" w:rsidRPr="00175E59" w:rsidRDefault="003B1773" w:rsidP="003B1773">
            <w:pPr>
              <w:jc w:val="both"/>
              <w:rPr>
                <w:rFonts w:ascii="Arial" w:hAnsi="Arial" w:cs="Arial"/>
                <w:b/>
                <w:bCs/>
                <w:sz w:val="24"/>
                <w:szCs w:val="24"/>
              </w:rPr>
            </w:pPr>
            <w:r w:rsidRPr="00175E59">
              <w:rPr>
                <w:rFonts w:ascii="Arial" w:hAnsi="Arial" w:cs="Arial"/>
                <w:b/>
                <w:bCs/>
                <w:sz w:val="24"/>
                <w:szCs w:val="24"/>
              </w:rPr>
              <w:t>Fiscal:</w:t>
            </w:r>
          </w:p>
        </w:tc>
      </w:tr>
      <w:tr w:rsidR="003B1773" w:rsidRPr="00175E59"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175E59"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1A44485B" w:rsidR="003B1773" w:rsidRPr="00175E59" w:rsidRDefault="00940C06" w:rsidP="003B1773">
            <w:pPr>
              <w:jc w:val="both"/>
              <w:rPr>
                <w:rFonts w:ascii="Arial" w:hAnsi="Arial" w:cs="Arial"/>
                <w:sz w:val="24"/>
                <w:szCs w:val="24"/>
              </w:rPr>
            </w:pPr>
            <w:r w:rsidRPr="009A5AA9">
              <w:rPr>
                <w:rFonts w:ascii="Arial" w:hAnsi="Arial" w:cs="Arial"/>
                <w:sz w:val="24"/>
                <w:szCs w:val="24"/>
              </w:rPr>
              <w:t xml:space="preserve">La </w:t>
            </w:r>
            <w:r w:rsidR="00D7209E" w:rsidRPr="009A5AA9">
              <w:rPr>
                <w:rFonts w:ascii="Arial" w:hAnsi="Arial" w:cs="Arial"/>
                <w:sz w:val="24"/>
                <w:szCs w:val="24"/>
              </w:rPr>
              <w:t>sub</w:t>
            </w:r>
            <w:r w:rsidR="003B1773" w:rsidRPr="009A5AA9">
              <w:rPr>
                <w:rFonts w:ascii="Arial" w:hAnsi="Arial" w:cs="Arial"/>
                <w:sz w:val="24"/>
                <w:szCs w:val="24"/>
              </w:rPr>
              <w:t xml:space="preserve">serie </w:t>
            </w:r>
            <w:r w:rsidR="00175E59" w:rsidRPr="009A5AA9">
              <w:rPr>
                <w:rFonts w:ascii="Arial" w:hAnsi="Arial" w:cs="Arial"/>
                <w:sz w:val="24"/>
                <w:szCs w:val="24"/>
              </w:rPr>
              <w:t xml:space="preserve">Registro de Transferencia Intelectual </w:t>
            </w:r>
            <w:r w:rsidR="00161E1A" w:rsidRPr="009A5AA9">
              <w:rPr>
                <w:rFonts w:ascii="Arial" w:hAnsi="Arial" w:cs="Arial"/>
                <w:sz w:val="24"/>
                <w:szCs w:val="24"/>
              </w:rPr>
              <w:t xml:space="preserve">tuvo valor </w:t>
            </w:r>
            <w:r w:rsidR="009A5AA9" w:rsidRPr="009A5AA9">
              <w:rPr>
                <w:rFonts w:ascii="Arial" w:hAnsi="Arial" w:cs="Arial"/>
                <w:sz w:val="24"/>
                <w:szCs w:val="24"/>
              </w:rPr>
              <w:t>administrativo</w:t>
            </w:r>
            <w:r w:rsidR="00161E1A" w:rsidRPr="009A5AA9">
              <w:rPr>
                <w:rFonts w:ascii="Arial" w:hAnsi="Arial" w:cs="Arial"/>
                <w:sz w:val="24"/>
                <w:szCs w:val="24"/>
              </w:rPr>
              <w:t xml:space="preserve"> ya que permite </w:t>
            </w:r>
            <w:r w:rsidR="009A5AA9" w:rsidRPr="009A5AA9">
              <w:rPr>
                <w:rFonts w:ascii="Arial" w:hAnsi="Arial" w:cs="Arial"/>
                <w:sz w:val="24"/>
                <w:szCs w:val="24"/>
              </w:rPr>
              <w:t>protege</w:t>
            </w:r>
            <w:r w:rsidR="009A5AA9">
              <w:rPr>
                <w:rFonts w:ascii="Arial" w:hAnsi="Arial" w:cs="Arial"/>
                <w:sz w:val="24"/>
                <w:szCs w:val="24"/>
              </w:rPr>
              <w:t>r</w:t>
            </w:r>
            <w:r w:rsidR="009A5AA9" w:rsidRPr="009A5AA9">
              <w:rPr>
                <w:rFonts w:ascii="Arial" w:hAnsi="Arial" w:cs="Arial"/>
                <w:sz w:val="24"/>
                <w:szCs w:val="24"/>
              </w:rPr>
              <w:t xml:space="preserve"> y facilita</w:t>
            </w:r>
            <w:r w:rsidR="009A5AA9">
              <w:rPr>
                <w:rFonts w:ascii="Arial" w:hAnsi="Arial" w:cs="Arial"/>
                <w:sz w:val="24"/>
                <w:szCs w:val="24"/>
              </w:rPr>
              <w:t>r</w:t>
            </w:r>
            <w:r w:rsidR="009A5AA9" w:rsidRPr="009A5AA9">
              <w:rPr>
                <w:rFonts w:ascii="Arial" w:hAnsi="Arial" w:cs="Arial"/>
                <w:sz w:val="24"/>
                <w:szCs w:val="24"/>
              </w:rPr>
              <w:t xml:space="preserve"> la producción intelectual de todos los miembros de la comunidad universitaria, la cual se presume como realizada por el miembro o miembros de ésta comunidad sin contravenir o afectar derechos de terceros</w:t>
            </w:r>
            <w:r w:rsidR="009A5AA9">
              <w:rPr>
                <w:rFonts w:ascii="Arial" w:hAnsi="Arial" w:cs="Arial"/>
                <w:sz w:val="24"/>
                <w:szCs w:val="24"/>
              </w:rPr>
              <w:t>.</w:t>
            </w:r>
          </w:p>
        </w:tc>
        <w:tc>
          <w:tcPr>
            <w:tcW w:w="909" w:type="pct"/>
            <w:shd w:val="clear" w:color="auto" w:fill="auto"/>
            <w:vAlign w:val="center"/>
          </w:tcPr>
          <w:p w14:paraId="20B350C1" w14:textId="381D6ED6" w:rsidR="003B1773" w:rsidRPr="00175E59" w:rsidRDefault="003B1773" w:rsidP="00646E2F">
            <w:pPr>
              <w:jc w:val="both"/>
              <w:rPr>
                <w:rFonts w:ascii="Arial" w:hAnsi="Arial" w:cs="Arial"/>
                <w:sz w:val="24"/>
                <w:szCs w:val="24"/>
              </w:rPr>
            </w:pPr>
            <w:r w:rsidRPr="009A5AA9">
              <w:rPr>
                <w:rFonts w:ascii="Arial" w:hAnsi="Arial" w:cs="Arial"/>
                <w:sz w:val="24"/>
                <w:szCs w:val="24"/>
              </w:rPr>
              <w:t xml:space="preserve">La </w:t>
            </w:r>
            <w:r w:rsidR="00D7209E" w:rsidRPr="009A5AA9">
              <w:rPr>
                <w:rFonts w:ascii="Arial" w:hAnsi="Arial" w:cs="Arial"/>
                <w:sz w:val="24"/>
                <w:szCs w:val="24"/>
              </w:rPr>
              <w:t>sub</w:t>
            </w:r>
            <w:r w:rsidRPr="009A5AA9">
              <w:rPr>
                <w:rFonts w:ascii="Arial" w:hAnsi="Arial" w:cs="Arial"/>
                <w:sz w:val="24"/>
                <w:szCs w:val="24"/>
              </w:rPr>
              <w:t xml:space="preserve">serie </w:t>
            </w:r>
            <w:r w:rsidR="00175E59" w:rsidRPr="00175E59">
              <w:rPr>
                <w:rFonts w:ascii="Arial" w:hAnsi="Arial" w:cs="Arial"/>
                <w:sz w:val="24"/>
                <w:szCs w:val="24"/>
              </w:rPr>
              <w:t>Registro de Transferencia Intelectual</w:t>
            </w:r>
            <w:r w:rsidR="00175E59" w:rsidRPr="009A5AA9">
              <w:rPr>
                <w:rFonts w:ascii="Arial" w:hAnsi="Arial" w:cs="Arial"/>
                <w:sz w:val="24"/>
                <w:szCs w:val="24"/>
              </w:rPr>
              <w:t xml:space="preserve"> </w:t>
            </w:r>
            <w:r w:rsidRPr="009A5AA9">
              <w:rPr>
                <w:rFonts w:ascii="Arial" w:hAnsi="Arial" w:cs="Arial"/>
                <w:sz w:val="24"/>
                <w:szCs w:val="24"/>
              </w:rPr>
              <w:t>tuvo valor legal ya que pe</w:t>
            </w:r>
            <w:r w:rsidR="009A5AA9" w:rsidRPr="009A5AA9">
              <w:rPr>
                <w:rFonts w:ascii="Arial" w:hAnsi="Arial" w:cs="Arial"/>
                <w:sz w:val="24"/>
                <w:szCs w:val="24"/>
              </w:rPr>
              <w:t>rmitía dar a conocer</w:t>
            </w:r>
            <w:r w:rsidR="009A5AA9">
              <w:rPr>
                <w:rFonts w:ascii="Arial" w:hAnsi="Arial" w:cs="Arial"/>
                <w:sz w:val="24"/>
                <w:szCs w:val="24"/>
              </w:rPr>
              <w:t xml:space="preserve"> los procesos y sanciones que  </w:t>
            </w:r>
            <w:r w:rsidR="009A5AA9" w:rsidRPr="009A5AA9">
              <w:rPr>
                <w:rFonts w:ascii="Arial" w:hAnsi="Arial" w:cs="Arial"/>
                <w:sz w:val="24"/>
                <w:szCs w:val="24"/>
              </w:rPr>
              <w:t xml:space="preserve"> </w:t>
            </w:r>
            <w:r w:rsidR="009A5AA9">
              <w:rPr>
                <w:rFonts w:ascii="Arial" w:hAnsi="Arial" w:cs="Arial"/>
                <w:sz w:val="24"/>
                <w:szCs w:val="24"/>
              </w:rPr>
              <w:t xml:space="preserve"> se aplicaran a quien</w:t>
            </w:r>
            <w:r w:rsidR="009A5AA9" w:rsidRPr="009A5AA9">
              <w:rPr>
                <w:rFonts w:ascii="Arial" w:hAnsi="Arial" w:cs="Arial"/>
                <w:sz w:val="24"/>
                <w:szCs w:val="24"/>
              </w:rPr>
              <w:t xml:space="preserve"> llegare a violar algún derecho de Propiedad Intelectual, bien sea de un miembro de la comunidad universitaria, o de un tercero particular, </w:t>
            </w:r>
            <w:r w:rsidR="009A5AA9" w:rsidRPr="009A5AA9">
              <w:rPr>
                <w:rFonts w:ascii="Arial" w:hAnsi="Arial" w:cs="Arial"/>
                <w:sz w:val="24"/>
                <w:szCs w:val="24"/>
              </w:rPr>
              <w:t>quedando</w:t>
            </w:r>
            <w:r w:rsidR="009A5AA9" w:rsidRPr="009A5AA9">
              <w:rPr>
                <w:rFonts w:ascii="Arial" w:hAnsi="Arial" w:cs="Arial"/>
                <w:sz w:val="24"/>
                <w:szCs w:val="24"/>
              </w:rPr>
              <w:t xml:space="preserve"> sujeto a las acciones civiles, penales y administrativas a que haya lugar ante la justicia ordinaria, todo de conformidad con las normas sustanciales y procedimentales vigentes.</w:t>
            </w:r>
            <w:r w:rsidR="009A5AA9" w:rsidRPr="009A5AA9">
              <w:rPr>
                <w:rFonts w:ascii="Arial" w:hAnsi="Arial" w:cs="Arial"/>
                <w:sz w:val="24"/>
                <w:szCs w:val="24"/>
              </w:rPr>
              <w:t xml:space="preserve"> </w:t>
            </w:r>
          </w:p>
        </w:tc>
        <w:tc>
          <w:tcPr>
            <w:tcW w:w="938" w:type="pct"/>
            <w:shd w:val="clear" w:color="auto" w:fill="auto"/>
            <w:vAlign w:val="center"/>
          </w:tcPr>
          <w:p w14:paraId="1A2DC279" w14:textId="33849915" w:rsidR="003B1773" w:rsidRPr="00175E59" w:rsidRDefault="003B1773" w:rsidP="00940C06">
            <w:pPr>
              <w:jc w:val="both"/>
              <w:rPr>
                <w:rFonts w:ascii="Arial" w:hAnsi="Arial" w:cs="Arial"/>
                <w:sz w:val="24"/>
                <w:szCs w:val="24"/>
              </w:rPr>
            </w:pPr>
            <w:r w:rsidRPr="00175E59">
              <w:rPr>
                <w:rFonts w:ascii="Arial" w:hAnsi="Arial" w:cs="Arial"/>
                <w:sz w:val="24"/>
                <w:szCs w:val="24"/>
              </w:rPr>
              <w:t xml:space="preserve">La </w:t>
            </w:r>
            <w:r w:rsidR="00D7209E" w:rsidRPr="00175E59">
              <w:rPr>
                <w:rFonts w:ascii="Arial" w:hAnsi="Arial" w:cs="Arial"/>
                <w:sz w:val="24"/>
                <w:szCs w:val="24"/>
              </w:rPr>
              <w:t>sub</w:t>
            </w:r>
            <w:r w:rsidRPr="00175E59">
              <w:rPr>
                <w:rFonts w:ascii="Arial" w:hAnsi="Arial" w:cs="Arial"/>
                <w:sz w:val="24"/>
                <w:szCs w:val="24"/>
              </w:rPr>
              <w:t xml:space="preserve">serie </w:t>
            </w:r>
            <w:r w:rsidR="00175E59" w:rsidRPr="00175E59">
              <w:rPr>
                <w:rFonts w:ascii="Arial" w:hAnsi="Arial" w:cs="Arial"/>
                <w:sz w:val="24"/>
                <w:szCs w:val="24"/>
              </w:rPr>
              <w:t xml:space="preserve">Registro de Transferencia Intelectual </w:t>
            </w:r>
            <w:r w:rsidRPr="00175E59">
              <w:rPr>
                <w:rFonts w:ascii="Arial" w:hAnsi="Arial" w:cs="Arial"/>
                <w:sz w:val="24"/>
                <w:szCs w:val="24"/>
              </w:rPr>
              <w:t xml:space="preserve">no 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2CF4C509" w:rsidR="003B1773" w:rsidRPr="00175E59" w:rsidRDefault="003B1773" w:rsidP="00940C06">
            <w:pPr>
              <w:jc w:val="both"/>
              <w:rPr>
                <w:rFonts w:ascii="Arial" w:hAnsi="Arial" w:cs="Arial"/>
                <w:sz w:val="24"/>
                <w:szCs w:val="24"/>
              </w:rPr>
            </w:pPr>
            <w:r w:rsidRPr="00175E59">
              <w:rPr>
                <w:rFonts w:ascii="Arial" w:hAnsi="Arial" w:cs="Arial"/>
                <w:sz w:val="24"/>
                <w:szCs w:val="24"/>
              </w:rPr>
              <w:t>La</w:t>
            </w:r>
            <w:r w:rsidR="00646E2F" w:rsidRPr="00175E59">
              <w:rPr>
                <w:rFonts w:ascii="Arial" w:hAnsi="Arial" w:cs="Arial"/>
                <w:sz w:val="24"/>
                <w:szCs w:val="24"/>
              </w:rPr>
              <w:t xml:space="preserve"> subserie</w:t>
            </w:r>
            <w:r w:rsidRPr="00175E59">
              <w:rPr>
                <w:rFonts w:ascii="Arial" w:hAnsi="Arial" w:cs="Arial"/>
                <w:sz w:val="24"/>
                <w:szCs w:val="24"/>
              </w:rPr>
              <w:t xml:space="preserve"> </w:t>
            </w:r>
            <w:r w:rsidR="00175E59" w:rsidRPr="00175E59">
              <w:rPr>
                <w:rFonts w:ascii="Arial" w:hAnsi="Arial" w:cs="Arial"/>
                <w:sz w:val="24"/>
                <w:szCs w:val="24"/>
              </w:rPr>
              <w:t xml:space="preserve">Registro de Transferencia Intelectual </w:t>
            </w:r>
            <w:r w:rsidRPr="00175E59">
              <w:rPr>
                <w:rFonts w:ascii="Arial" w:hAnsi="Arial" w:cs="Arial"/>
                <w:sz w:val="24"/>
                <w:szCs w:val="24"/>
              </w:rPr>
              <w:t>no tuvo valor fiscal por cuanto no registra documentos decisorios que comprometan el manejo presupuestal, de bienes o recursos públicos.</w:t>
            </w:r>
          </w:p>
        </w:tc>
      </w:tr>
      <w:tr w:rsidR="003B1773" w:rsidRPr="00175E59"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175E59" w:rsidRDefault="003B1773" w:rsidP="003B1773">
            <w:pPr>
              <w:pStyle w:val="NormalWeb"/>
              <w:spacing w:before="0" w:beforeAutospacing="0" w:after="0" w:afterAutospacing="0" w:line="276" w:lineRule="auto"/>
              <w:jc w:val="both"/>
              <w:rPr>
                <w:rFonts w:ascii="Arial" w:hAnsi="Arial" w:cs="Arial"/>
                <w:b/>
                <w:bCs/>
              </w:rPr>
            </w:pPr>
            <w:r w:rsidRPr="00175E59">
              <w:rPr>
                <w:rFonts w:ascii="Arial" w:hAnsi="Arial" w:cs="Arial"/>
                <w:b/>
                <w:bCs/>
              </w:rPr>
              <w:t>2.6</w:t>
            </w:r>
          </w:p>
        </w:tc>
        <w:tc>
          <w:tcPr>
            <w:tcW w:w="1039" w:type="pct"/>
            <w:shd w:val="clear" w:color="auto" w:fill="auto"/>
            <w:tcMar>
              <w:top w:w="15" w:type="dxa"/>
              <w:left w:w="56" w:type="dxa"/>
              <w:bottom w:w="0" w:type="dxa"/>
              <w:right w:w="56" w:type="dxa"/>
            </w:tcMar>
            <w:vAlign w:val="center"/>
          </w:tcPr>
          <w:p w14:paraId="4DFA6AF6"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4F8696DD" w:rsidR="00AD356A" w:rsidRDefault="003A3A72" w:rsidP="00AD356A">
            <w:pPr>
              <w:jc w:val="both"/>
              <w:rPr>
                <w:rFonts w:ascii="Arial" w:eastAsia="Arial" w:hAnsi="Arial" w:cs="Arial"/>
                <w:sz w:val="24"/>
                <w:szCs w:val="24"/>
              </w:rPr>
            </w:pPr>
            <w:r w:rsidRPr="00175E59">
              <w:rPr>
                <w:rFonts w:ascii="Arial" w:eastAsia="Arial" w:hAnsi="Arial" w:cs="Arial"/>
                <w:b/>
                <w:sz w:val="24"/>
                <w:szCs w:val="24"/>
              </w:rPr>
              <w:t xml:space="preserve">NTC 4436, del 22 de julio de </w:t>
            </w:r>
            <w:r w:rsidR="00AD356A" w:rsidRPr="00175E59">
              <w:rPr>
                <w:rFonts w:ascii="Arial" w:eastAsia="Arial" w:hAnsi="Arial" w:cs="Arial"/>
                <w:b/>
                <w:sz w:val="24"/>
                <w:szCs w:val="24"/>
              </w:rPr>
              <w:t>1998</w:t>
            </w:r>
            <w:r w:rsidRPr="00175E59">
              <w:rPr>
                <w:rFonts w:ascii="Arial" w:eastAsia="Arial" w:hAnsi="Arial" w:cs="Arial"/>
                <w:sz w:val="24"/>
                <w:szCs w:val="24"/>
              </w:rPr>
              <w:t xml:space="preserve"> </w:t>
            </w:r>
            <w:r w:rsidR="00AD356A" w:rsidRPr="00175E59">
              <w:rPr>
                <w:rFonts w:ascii="Arial" w:eastAsia="Arial" w:hAnsi="Arial" w:cs="Arial"/>
                <w:sz w:val="24"/>
                <w:szCs w:val="24"/>
              </w:rPr>
              <w:t>"Información y documentación. Papel para documentos de Archivo. Requisitos para la permanencia y durabilidad”.</w:t>
            </w:r>
          </w:p>
          <w:p w14:paraId="79568136" w14:textId="38DEDDDF" w:rsidR="00B859AF" w:rsidRPr="00B859AF" w:rsidRDefault="00B859AF" w:rsidP="00AD356A">
            <w:pPr>
              <w:jc w:val="both"/>
              <w:rPr>
                <w:rFonts w:ascii="Arial" w:eastAsia="Arial" w:hAnsi="Arial" w:cs="Arial"/>
                <w:sz w:val="24"/>
                <w:szCs w:val="24"/>
              </w:rPr>
            </w:pPr>
            <w:r w:rsidRPr="00B859AF">
              <w:rPr>
                <w:rFonts w:ascii="Arial" w:eastAsia="Arial" w:hAnsi="Arial" w:cs="Arial"/>
                <w:b/>
                <w:sz w:val="24"/>
                <w:szCs w:val="24"/>
              </w:rPr>
              <w:t>Acuerdo 006 del 26 de agosto de 2008</w:t>
            </w:r>
            <w:r w:rsidRPr="00B859AF">
              <w:rPr>
                <w:rFonts w:ascii="Arial" w:eastAsia="Arial" w:hAnsi="Arial" w:cs="Arial"/>
                <w:sz w:val="24"/>
                <w:szCs w:val="24"/>
              </w:rPr>
              <w:t xml:space="preserve"> </w:t>
            </w:r>
            <w:r>
              <w:rPr>
                <w:rFonts w:ascii="Arial" w:eastAsia="Arial" w:hAnsi="Arial" w:cs="Arial"/>
                <w:sz w:val="24"/>
                <w:szCs w:val="24"/>
              </w:rPr>
              <w:t>“</w:t>
            </w:r>
            <w:r w:rsidRPr="00B859AF">
              <w:rPr>
                <w:rFonts w:ascii="Arial" w:eastAsia="Arial" w:hAnsi="Arial" w:cs="Arial"/>
                <w:sz w:val="24"/>
                <w:szCs w:val="24"/>
              </w:rPr>
              <w:t xml:space="preserve">Por el cual se aprueba el Estatuto de Propiedad Intelectual de la Universidad Nacional Abierta y a </w:t>
            </w:r>
            <w:r w:rsidRPr="00B859AF">
              <w:rPr>
                <w:rFonts w:ascii="Arial" w:eastAsia="Arial" w:hAnsi="Arial" w:cs="Arial"/>
                <w:sz w:val="24"/>
                <w:szCs w:val="24"/>
              </w:rPr>
              <w:lastRenderedPageBreak/>
              <w:t>Distancia (UNAD)</w:t>
            </w:r>
            <w:r>
              <w:rPr>
                <w:rFonts w:ascii="Arial" w:eastAsia="Arial" w:hAnsi="Arial" w:cs="Arial"/>
                <w:sz w:val="24"/>
                <w:szCs w:val="24"/>
              </w:rPr>
              <w:t>”</w:t>
            </w:r>
          </w:p>
          <w:p w14:paraId="3DB88D6E" w14:textId="77777777" w:rsidR="005C73B6" w:rsidRPr="00175E59" w:rsidRDefault="00AD356A" w:rsidP="00AD356A">
            <w:pPr>
              <w:jc w:val="both"/>
              <w:rPr>
                <w:rFonts w:ascii="Arial" w:hAnsi="Arial" w:cs="Arial"/>
                <w:b/>
                <w:sz w:val="24"/>
                <w:szCs w:val="24"/>
              </w:rPr>
            </w:pPr>
            <w:r w:rsidRPr="00175E59">
              <w:rPr>
                <w:rFonts w:ascii="Arial" w:eastAsia="Arial" w:hAnsi="Arial" w:cs="Arial"/>
                <w:b/>
                <w:sz w:val="24"/>
                <w:szCs w:val="24"/>
              </w:rPr>
              <w:t>Acuerdo 006 de 2014</w:t>
            </w:r>
            <w:r w:rsidRPr="00175E59">
              <w:rPr>
                <w:rFonts w:ascii="Arial" w:eastAsia="Arial" w:hAnsi="Arial" w:cs="Arial"/>
                <w:sz w:val="24"/>
                <w:szCs w:val="24"/>
              </w:rPr>
              <w:t xml:space="preserve"> sobre “Conservación de Documentos”</w:t>
            </w:r>
          </w:p>
          <w:p w14:paraId="1AE64439" w14:textId="5E553FC8" w:rsidR="00AD356A" w:rsidRPr="00175E59" w:rsidRDefault="00175E59" w:rsidP="000D633E">
            <w:pPr>
              <w:jc w:val="both"/>
              <w:rPr>
                <w:rFonts w:ascii="Arial" w:hAnsi="Arial" w:cs="Arial"/>
                <w:sz w:val="24"/>
                <w:szCs w:val="24"/>
              </w:rPr>
            </w:pPr>
            <w:r w:rsidRPr="00175E59">
              <w:rPr>
                <w:rFonts w:ascii="Arial" w:hAnsi="Arial" w:cs="Arial"/>
                <w:b/>
                <w:sz w:val="24"/>
                <w:szCs w:val="24"/>
              </w:rPr>
              <w:t>Acuerdo 039 del 3 de diciembre de 2019</w:t>
            </w:r>
            <w:r w:rsidRPr="00175E59">
              <w:rPr>
                <w:rFonts w:ascii="Arial" w:hAnsi="Arial" w:cs="Arial"/>
                <w:sz w:val="24"/>
                <w:szCs w:val="24"/>
              </w:rPr>
              <w:t xml:space="preserve">  “Por el cual se modifica el Estatuto Organizacional de la Universidad Nacional Abierta y a Distancia (UNAD) </w:t>
            </w:r>
            <w:r w:rsidRPr="00175E59">
              <w:rPr>
                <w:rFonts w:ascii="Arial" w:hAnsi="Arial" w:cs="Arial"/>
                <w:b/>
                <w:sz w:val="24"/>
                <w:szCs w:val="24"/>
              </w:rPr>
              <w:t>Artículo 39.</w:t>
            </w:r>
            <w:r w:rsidRPr="00175E59">
              <w:rPr>
                <w:rFonts w:ascii="Arial" w:hAnsi="Arial" w:cs="Arial"/>
                <w:sz w:val="24"/>
                <w:szCs w:val="24"/>
              </w:rPr>
              <w:t xml:space="preserve"> Funciones de la Vicerrectoría de Innovación y Emprendimiento literal. b) todo el literal.</w:t>
            </w:r>
          </w:p>
        </w:tc>
      </w:tr>
    </w:tbl>
    <w:p w14:paraId="76CD6669" w14:textId="28AA55A5" w:rsidR="003B1773" w:rsidRPr="00175E59"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175E59"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hAnsi="Arial" w:cs="Arial"/>
          <w:b/>
          <w:bCs/>
        </w:rPr>
        <w:t xml:space="preserve">3. </w:t>
      </w:r>
      <w:r w:rsidRPr="00175E59">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2"/>
        <w:gridCol w:w="912"/>
        <w:gridCol w:w="455"/>
        <w:gridCol w:w="755"/>
        <w:gridCol w:w="1141"/>
        <w:gridCol w:w="100"/>
        <w:gridCol w:w="427"/>
        <w:gridCol w:w="1567"/>
        <w:gridCol w:w="759"/>
      </w:tblGrid>
      <w:tr w:rsidR="003B1773" w:rsidRPr="00175E59" w14:paraId="4566ECC8" w14:textId="77777777" w:rsidTr="008A4185">
        <w:trPr>
          <w:trHeight w:val="309"/>
          <w:jc w:val="center"/>
        </w:trPr>
        <w:tc>
          <w:tcPr>
            <w:tcW w:w="326" w:type="pct"/>
            <w:vMerge w:val="restart"/>
            <w:shd w:val="clear" w:color="auto" w:fill="auto"/>
            <w:tcMar>
              <w:top w:w="15" w:type="dxa"/>
              <w:left w:w="56" w:type="dxa"/>
              <w:bottom w:w="0" w:type="dxa"/>
              <w:right w:w="56" w:type="dxa"/>
            </w:tcMar>
            <w:vAlign w:val="center"/>
            <w:hideMark/>
          </w:tcPr>
          <w:p w14:paraId="40432230" w14:textId="77777777" w:rsidR="003B1773" w:rsidRPr="00175E59" w:rsidRDefault="003B1773" w:rsidP="003B1773">
            <w:pPr>
              <w:pStyle w:val="NormalWeb"/>
              <w:spacing w:before="0" w:beforeAutospacing="0" w:after="0" w:afterAutospacing="0" w:line="276" w:lineRule="auto"/>
              <w:jc w:val="both"/>
              <w:rPr>
                <w:rFonts w:ascii="Arial" w:hAnsi="Arial" w:cs="Arial"/>
              </w:rPr>
            </w:pPr>
            <w:r w:rsidRPr="00175E59">
              <w:rPr>
                <w:rFonts w:ascii="Arial" w:eastAsia="Calibri" w:hAnsi="Arial" w:cs="Arial"/>
                <w:b/>
                <w:bCs/>
                <w:color w:val="000000"/>
                <w:kern w:val="24"/>
              </w:rPr>
              <w:t>3.1</w:t>
            </w:r>
          </w:p>
        </w:tc>
        <w:tc>
          <w:tcPr>
            <w:tcW w:w="804" w:type="pct"/>
            <w:vMerge w:val="restart"/>
            <w:shd w:val="clear" w:color="auto" w:fill="auto"/>
            <w:tcMar>
              <w:top w:w="15" w:type="dxa"/>
              <w:left w:w="56" w:type="dxa"/>
              <w:bottom w:w="0" w:type="dxa"/>
              <w:right w:w="56" w:type="dxa"/>
            </w:tcMar>
            <w:vAlign w:val="center"/>
            <w:hideMark/>
          </w:tcPr>
          <w:p w14:paraId="6A836F04" w14:textId="77777777" w:rsidR="003B1773" w:rsidRPr="00175E59" w:rsidRDefault="003B1773" w:rsidP="003B1773">
            <w:pPr>
              <w:pStyle w:val="NormalWeb"/>
              <w:spacing w:before="0" w:beforeAutospacing="0" w:after="0" w:afterAutospacing="0" w:line="276" w:lineRule="auto"/>
              <w:jc w:val="both"/>
              <w:rPr>
                <w:rFonts w:ascii="Arial" w:hAnsi="Arial" w:cs="Arial"/>
              </w:rPr>
            </w:pPr>
            <w:r w:rsidRPr="00175E59">
              <w:rPr>
                <w:rFonts w:ascii="Arial" w:eastAsia="Calibri" w:hAnsi="Arial" w:cs="Arial"/>
                <w:b/>
                <w:bCs/>
                <w:color w:val="000000"/>
                <w:kern w:val="24"/>
              </w:rPr>
              <w:t>Tiempo de retención:</w:t>
            </w:r>
          </w:p>
        </w:tc>
        <w:tc>
          <w:tcPr>
            <w:tcW w:w="1595" w:type="pct"/>
            <w:gridSpan w:val="3"/>
            <w:shd w:val="clear" w:color="auto" w:fill="auto"/>
            <w:tcMar>
              <w:top w:w="15" w:type="dxa"/>
              <w:left w:w="56" w:type="dxa"/>
              <w:bottom w:w="0" w:type="dxa"/>
              <w:right w:w="56" w:type="dxa"/>
            </w:tcMar>
            <w:vAlign w:val="center"/>
            <w:hideMark/>
          </w:tcPr>
          <w:p w14:paraId="4F46D5A7" w14:textId="77777777" w:rsidR="003B1773" w:rsidRPr="00175E59" w:rsidRDefault="003B1773" w:rsidP="003B1773">
            <w:pPr>
              <w:jc w:val="both"/>
              <w:rPr>
                <w:rFonts w:ascii="Arial" w:hAnsi="Arial" w:cs="Arial"/>
                <w:b/>
                <w:bCs/>
                <w:sz w:val="24"/>
                <w:szCs w:val="24"/>
              </w:rPr>
            </w:pPr>
            <w:r w:rsidRPr="00175E59">
              <w:rPr>
                <w:rFonts w:ascii="Arial" w:hAnsi="Arial" w:cs="Arial"/>
                <w:b/>
                <w:bCs/>
                <w:sz w:val="24"/>
                <w:szCs w:val="24"/>
              </w:rPr>
              <w:t>Archivo de Gestión</w:t>
            </w:r>
          </w:p>
        </w:tc>
        <w:tc>
          <w:tcPr>
            <w:tcW w:w="1145" w:type="pct"/>
            <w:gridSpan w:val="4"/>
            <w:shd w:val="clear" w:color="auto" w:fill="auto"/>
            <w:vAlign w:val="center"/>
          </w:tcPr>
          <w:p w14:paraId="6B7F4267" w14:textId="77777777" w:rsidR="003B1773" w:rsidRPr="00175E59" w:rsidRDefault="003B1773" w:rsidP="003B1773">
            <w:pPr>
              <w:jc w:val="both"/>
              <w:rPr>
                <w:rFonts w:ascii="Arial" w:hAnsi="Arial" w:cs="Arial"/>
                <w:b/>
                <w:bCs/>
                <w:sz w:val="24"/>
                <w:szCs w:val="24"/>
              </w:rPr>
            </w:pPr>
            <w:r w:rsidRPr="00175E59">
              <w:rPr>
                <w:rFonts w:ascii="Arial" w:hAnsi="Arial" w:cs="Arial"/>
                <w:b/>
                <w:bCs/>
                <w:sz w:val="24"/>
                <w:szCs w:val="24"/>
              </w:rPr>
              <w:t>Archivo Central</w:t>
            </w:r>
          </w:p>
        </w:tc>
        <w:tc>
          <w:tcPr>
            <w:tcW w:w="1130" w:type="pct"/>
            <w:gridSpan w:val="3"/>
            <w:shd w:val="clear" w:color="auto" w:fill="auto"/>
            <w:vAlign w:val="center"/>
          </w:tcPr>
          <w:p w14:paraId="0C23685A" w14:textId="77777777" w:rsidR="003B1773" w:rsidRPr="00175E59" w:rsidRDefault="003B1773" w:rsidP="003B1773">
            <w:pPr>
              <w:jc w:val="both"/>
              <w:rPr>
                <w:rFonts w:ascii="Arial" w:hAnsi="Arial" w:cs="Arial"/>
                <w:b/>
                <w:bCs/>
                <w:sz w:val="24"/>
                <w:szCs w:val="24"/>
              </w:rPr>
            </w:pPr>
            <w:r w:rsidRPr="00175E59">
              <w:rPr>
                <w:rFonts w:ascii="Arial" w:hAnsi="Arial" w:cs="Arial"/>
                <w:b/>
                <w:bCs/>
                <w:sz w:val="24"/>
                <w:szCs w:val="24"/>
              </w:rPr>
              <w:t>Tiempo total</w:t>
            </w:r>
          </w:p>
        </w:tc>
      </w:tr>
      <w:tr w:rsidR="003B1773" w:rsidRPr="00175E59" w14:paraId="070EED12" w14:textId="77777777" w:rsidTr="008A4185">
        <w:trPr>
          <w:trHeight w:val="309"/>
          <w:jc w:val="center"/>
        </w:trPr>
        <w:tc>
          <w:tcPr>
            <w:tcW w:w="326" w:type="pct"/>
            <w:vMerge/>
            <w:shd w:val="clear" w:color="auto" w:fill="auto"/>
            <w:tcMar>
              <w:top w:w="15" w:type="dxa"/>
              <w:left w:w="56" w:type="dxa"/>
              <w:bottom w:w="0" w:type="dxa"/>
              <w:right w:w="56" w:type="dxa"/>
            </w:tcMar>
            <w:vAlign w:val="center"/>
          </w:tcPr>
          <w:p w14:paraId="18969551"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04" w:type="pct"/>
            <w:vMerge/>
            <w:shd w:val="clear" w:color="auto" w:fill="auto"/>
            <w:tcMar>
              <w:top w:w="15" w:type="dxa"/>
              <w:left w:w="56" w:type="dxa"/>
              <w:bottom w:w="0" w:type="dxa"/>
              <w:right w:w="56" w:type="dxa"/>
            </w:tcMar>
            <w:vAlign w:val="center"/>
          </w:tcPr>
          <w:p w14:paraId="63EB040A"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95" w:type="pct"/>
            <w:gridSpan w:val="3"/>
            <w:shd w:val="clear" w:color="auto" w:fill="auto"/>
            <w:tcMar>
              <w:top w:w="15" w:type="dxa"/>
              <w:left w:w="56" w:type="dxa"/>
              <w:bottom w:w="0" w:type="dxa"/>
              <w:right w:w="56" w:type="dxa"/>
            </w:tcMar>
            <w:vAlign w:val="center"/>
          </w:tcPr>
          <w:p w14:paraId="4A06D5A4" w14:textId="28AC0ACC" w:rsidR="003B1773" w:rsidRPr="00175E59" w:rsidRDefault="000D633E" w:rsidP="003A2443">
            <w:pPr>
              <w:jc w:val="center"/>
              <w:rPr>
                <w:rFonts w:ascii="Arial" w:hAnsi="Arial" w:cs="Arial"/>
                <w:sz w:val="24"/>
                <w:szCs w:val="24"/>
              </w:rPr>
            </w:pPr>
            <w:r w:rsidRPr="00175E59">
              <w:rPr>
                <w:rFonts w:ascii="Arial" w:hAnsi="Arial" w:cs="Arial"/>
                <w:sz w:val="24"/>
                <w:szCs w:val="24"/>
              </w:rPr>
              <w:t>2</w:t>
            </w:r>
          </w:p>
        </w:tc>
        <w:tc>
          <w:tcPr>
            <w:tcW w:w="1145" w:type="pct"/>
            <w:gridSpan w:val="4"/>
            <w:shd w:val="clear" w:color="auto" w:fill="auto"/>
            <w:vAlign w:val="center"/>
          </w:tcPr>
          <w:p w14:paraId="033EBE89" w14:textId="5654516C" w:rsidR="003B1773" w:rsidRPr="00175E59" w:rsidRDefault="00175E59" w:rsidP="003A2443">
            <w:pPr>
              <w:jc w:val="center"/>
              <w:rPr>
                <w:rFonts w:ascii="Arial" w:hAnsi="Arial" w:cs="Arial"/>
                <w:sz w:val="24"/>
                <w:szCs w:val="24"/>
              </w:rPr>
            </w:pPr>
            <w:r w:rsidRPr="00175E59">
              <w:rPr>
                <w:rFonts w:ascii="Arial" w:hAnsi="Arial" w:cs="Arial"/>
                <w:sz w:val="24"/>
                <w:szCs w:val="24"/>
              </w:rPr>
              <w:t>5</w:t>
            </w:r>
          </w:p>
        </w:tc>
        <w:tc>
          <w:tcPr>
            <w:tcW w:w="1130" w:type="pct"/>
            <w:gridSpan w:val="3"/>
            <w:shd w:val="clear" w:color="auto" w:fill="auto"/>
            <w:vAlign w:val="center"/>
          </w:tcPr>
          <w:p w14:paraId="19204BF6" w14:textId="3D6AEC1F" w:rsidR="003B1773" w:rsidRPr="00175E59" w:rsidRDefault="00175E59" w:rsidP="003A2443">
            <w:pPr>
              <w:jc w:val="center"/>
              <w:rPr>
                <w:rFonts w:ascii="Arial" w:hAnsi="Arial" w:cs="Arial"/>
                <w:sz w:val="24"/>
                <w:szCs w:val="24"/>
              </w:rPr>
            </w:pPr>
            <w:r w:rsidRPr="00175E59">
              <w:rPr>
                <w:rFonts w:ascii="Arial" w:hAnsi="Arial" w:cs="Arial"/>
                <w:sz w:val="24"/>
                <w:szCs w:val="24"/>
              </w:rPr>
              <w:t>7</w:t>
            </w:r>
          </w:p>
        </w:tc>
      </w:tr>
      <w:tr w:rsidR="003B1773" w:rsidRPr="00175E59" w14:paraId="415D8431" w14:textId="77777777" w:rsidTr="008A4185">
        <w:trPr>
          <w:trHeight w:val="309"/>
          <w:jc w:val="center"/>
        </w:trPr>
        <w:tc>
          <w:tcPr>
            <w:tcW w:w="326" w:type="pct"/>
            <w:shd w:val="clear" w:color="auto" w:fill="auto"/>
            <w:tcMar>
              <w:top w:w="15" w:type="dxa"/>
              <w:left w:w="56" w:type="dxa"/>
              <w:bottom w:w="0" w:type="dxa"/>
              <w:right w:w="56" w:type="dxa"/>
            </w:tcMar>
            <w:vAlign w:val="center"/>
            <w:hideMark/>
          </w:tcPr>
          <w:p w14:paraId="62A987B4" w14:textId="77777777" w:rsidR="003B1773" w:rsidRPr="00175E59" w:rsidRDefault="003B1773" w:rsidP="003B1773">
            <w:pPr>
              <w:pStyle w:val="NormalWeb"/>
              <w:spacing w:before="0" w:beforeAutospacing="0" w:after="0" w:afterAutospacing="0" w:line="276" w:lineRule="auto"/>
              <w:jc w:val="both"/>
              <w:rPr>
                <w:rFonts w:ascii="Arial" w:hAnsi="Arial" w:cs="Arial"/>
              </w:rPr>
            </w:pPr>
            <w:r w:rsidRPr="00175E59">
              <w:rPr>
                <w:rFonts w:ascii="Arial" w:eastAsia="Calibri" w:hAnsi="Arial" w:cs="Arial"/>
                <w:b/>
                <w:bCs/>
                <w:color w:val="000000"/>
                <w:kern w:val="24"/>
              </w:rPr>
              <w:t>3.2</w:t>
            </w:r>
          </w:p>
        </w:tc>
        <w:tc>
          <w:tcPr>
            <w:tcW w:w="804" w:type="pct"/>
            <w:shd w:val="clear" w:color="auto" w:fill="auto"/>
            <w:tcMar>
              <w:top w:w="15" w:type="dxa"/>
              <w:left w:w="56" w:type="dxa"/>
              <w:bottom w:w="0" w:type="dxa"/>
              <w:right w:w="56" w:type="dxa"/>
            </w:tcMar>
            <w:vAlign w:val="center"/>
            <w:hideMark/>
          </w:tcPr>
          <w:p w14:paraId="1CC7FF20" w14:textId="77777777" w:rsidR="003B1773" w:rsidRPr="00175E59" w:rsidRDefault="003B1773" w:rsidP="003B1773">
            <w:pPr>
              <w:pStyle w:val="NormalWeb"/>
              <w:spacing w:before="0" w:beforeAutospacing="0" w:after="0" w:afterAutospacing="0" w:line="276" w:lineRule="auto"/>
              <w:jc w:val="both"/>
              <w:rPr>
                <w:rFonts w:ascii="Arial" w:hAnsi="Arial" w:cs="Arial"/>
              </w:rPr>
            </w:pPr>
            <w:r w:rsidRPr="00175E59">
              <w:rPr>
                <w:rFonts w:ascii="Arial" w:eastAsia="Calibri" w:hAnsi="Arial" w:cs="Arial"/>
                <w:b/>
                <w:bCs/>
                <w:color w:val="000000"/>
                <w:kern w:val="24"/>
              </w:rPr>
              <w:t>Disposición Final:</w:t>
            </w:r>
          </w:p>
        </w:tc>
        <w:tc>
          <w:tcPr>
            <w:tcW w:w="835" w:type="pct"/>
            <w:shd w:val="clear" w:color="auto" w:fill="auto"/>
            <w:tcMar>
              <w:top w:w="15" w:type="dxa"/>
              <w:left w:w="56" w:type="dxa"/>
              <w:bottom w:w="0" w:type="dxa"/>
              <w:right w:w="56" w:type="dxa"/>
            </w:tcMar>
            <w:vAlign w:val="center"/>
            <w:hideMark/>
          </w:tcPr>
          <w:p w14:paraId="3F933655" w14:textId="77777777" w:rsidR="003B1773" w:rsidRPr="00175E59" w:rsidRDefault="003B1773" w:rsidP="003B1773">
            <w:pPr>
              <w:jc w:val="both"/>
              <w:rPr>
                <w:rFonts w:ascii="Arial" w:hAnsi="Arial" w:cs="Arial"/>
                <w:b/>
                <w:bCs/>
                <w:sz w:val="24"/>
                <w:szCs w:val="24"/>
              </w:rPr>
            </w:pPr>
            <w:r w:rsidRPr="00175E59">
              <w:rPr>
                <w:rFonts w:ascii="Arial" w:hAnsi="Arial" w:cs="Arial"/>
                <w:b/>
                <w:bCs/>
                <w:sz w:val="24"/>
                <w:szCs w:val="24"/>
              </w:rPr>
              <w:t>Conservación Total</w:t>
            </w:r>
          </w:p>
        </w:tc>
        <w:tc>
          <w:tcPr>
            <w:tcW w:w="426" w:type="pct"/>
            <w:shd w:val="clear" w:color="auto" w:fill="auto"/>
            <w:vAlign w:val="center"/>
          </w:tcPr>
          <w:p w14:paraId="0D982E34" w14:textId="77777777" w:rsidR="003B1773" w:rsidRPr="00175E59" w:rsidRDefault="003B1773" w:rsidP="003B1773">
            <w:pPr>
              <w:jc w:val="both"/>
              <w:rPr>
                <w:rFonts w:ascii="Arial" w:hAnsi="Arial" w:cs="Arial"/>
                <w:sz w:val="24"/>
                <w:szCs w:val="24"/>
              </w:rPr>
            </w:pPr>
            <w:r w:rsidRPr="00175E59">
              <w:rPr>
                <w:rFonts w:ascii="Arial" w:hAnsi="Arial" w:cs="Arial"/>
                <w:sz w:val="24"/>
                <w:szCs w:val="24"/>
              </w:rPr>
              <w:t>X</w:t>
            </w:r>
          </w:p>
        </w:tc>
        <w:tc>
          <w:tcPr>
            <w:tcW w:w="501" w:type="pct"/>
            <w:gridSpan w:val="2"/>
            <w:shd w:val="clear" w:color="auto" w:fill="auto"/>
            <w:vAlign w:val="center"/>
          </w:tcPr>
          <w:p w14:paraId="223133C5" w14:textId="77777777" w:rsidR="003B1773" w:rsidRPr="00175E59" w:rsidRDefault="003B1773" w:rsidP="003B1773">
            <w:pPr>
              <w:jc w:val="both"/>
              <w:rPr>
                <w:rFonts w:ascii="Arial" w:hAnsi="Arial" w:cs="Arial"/>
                <w:b/>
                <w:bCs/>
                <w:sz w:val="24"/>
                <w:szCs w:val="24"/>
              </w:rPr>
            </w:pPr>
            <w:r w:rsidRPr="00175E59">
              <w:rPr>
                <w:rFonts w:ascii="Arial" w:hAnsi="Arial" w:cs="Arial"/>
                <w:b/>
                <w:bCs/>
                <w:sz w:val="24"/>
                <w:szCs w:val="24"/>
              </w:rPr>
              <w:t>Eliminación</w:t>
            </w:r>
          </w:p>
        </w:tc>
        <w:tc>
          <w:tcPr>
            <w:tcW w:w="426" w:type="pct"/>
            <w:shd w:val="clear" w:color="auto" w:fill="auto"/>
            <w:vAlign w:val="center"/>
          </w:tcPr>
          <w:p w14:paraId="549BCCDB" w14:textId="77777777" w:rsidR="003B1773" w:rsidRPr="00175E59" w:rsidRDefault="003B1773" w:rsidP="003B1773">
            <w:pPr>
              <w:jc w:val="both"/>
              <w:rPr>
                <w:rFonts w:ascii="Arial" w:hAnsi="Arial" w:cs="Arial"/>
                <w:sz w:val="24"/>
                <w:szCs w:val="24"/>
              </w:rPr>
            </w:pPr>
          </w:p>
        </w:tc>
        <w:tc>
          <w:tcPr>
            <w:tcW w:w="426" w:type="pct"/>
            <w:shd w:val="clear" w:color="auto" w:fill="auto"/>
            <w:vAlign w:val="center"/>
          </w:tcPr>
          <w:p w14:paraId="780EC18D" w14:textId="77777777" w:rsidR="003B1773" w:rsidRPr="00175E59" w:rsidRDefault="003B1773" w:rsidP="003B1773">
            <w:pPr>
              <w:jc w:val="both"/>
              <w:rPr>
                <w:rFonts w:ascii="Arial" w:hAnsi="Arial" w:cs="Arial"/>
                <w:b/>
                <w:bCs/>
                <w:sz w:val="24"/>
                <w:szCs w:val="24"/>
              </w:rPr>
            </w:pPr>
            <w:r w:rsidRPr="00175E59">
              <w:rPr>
                <w:rFonts w:ascii="Arial" w:hAnsi="Arial" w:cs="Arial"/>
                <w:b/>
                <w:bCs/>
                <w:sz w:val="24"/>
                <w:szCs w:val="24"/>
              </w:rPr>
              <w:t>Selección</w:t>
            </w:r>
          </w:p>
        </w:tc>
        <w:tc>
          <w:tcPr>
            <w:tcW w:w="402" w:type="pct"/>
            <w:gridSpan w:val="2"/>
            <w:shd w:val="clear" w:color="auto" w:fill="auto"/>
            <w:vAlign w:val="center"/>
          </w:tcPr>
          <w:p w14:paraId="69242FD0" w14:textId="77777777" w:rsidR="003B1773" w:rsidRPr="00175E59" w:rsidRDefault="003B1773" w:rsidP="003B1773">
            <w:pPr>
              <w:jc w:val="both"/>
              <w:rPr>
                <w:rFonts w:ascii="Arial" w:hAnsi="Arial" w:cs="Arial"/>
                <w:sz w:val="24"/>
                <w:szCs w:val="24"/>
              </w:rPr>
            </w:pPr>
          </w:p>
        </w:tc>
        <w:tc>
          <w:tcPr>
            <w:tcW w:w="426" w:type="pct"/>
            <w:shd w:val="clear" w:color="auto" w:fill="auto"/>
            <w:vAlign w:val="center"/>
          </w:tcPr>
          <w:p w14:paraId="2C4B267D" w14:textId="77777777" w:rsidR="003B1773" w:rsidRPr="00175E59" w:rsidRDefault="003B1773" w:rsidP="003B1773">
            <w:pPr>
              <w:jc w:val="both"/>
              <w:rPr>
                <w:rFonts w:ascii="Arial" w:hAnsi="Arial" w:cs="Arial"/>
                <w:sz w:val="24"/>
                <w:szCs w:val="24"/>
              </w:rPr>
            </w:pPr>
            <w:r w:rsidRPr="00175E59">
              <w:rPr>
                <w:rFonts w:ascii="Arial" w:hAnsi="Arial" w:cs="Arial"/>
                <w:b/>
                <w:bCs/>
                <w:sz w:val="24"/>
                <w:szCs w:val="24"/>
              </w:rPr>
              <w:t>Digitalización</w:t>
            </w:r>
          </w:p>
        </w:tc>
        <w:tc>
          <w:tcPr>
            <w:tcW w:w="428" w:type="pct"/>
            <w:shd w:val="clear" w:color="auto" w:fill="auto"/>
            <w:vAlign w:val="center"/>
          </w:tcPr>
          <w:p w14:paraId="5A1060C6" w14:textId="77777777" w:rsidR="003B1773" w:rsidRPr="00175E59" w:rsidRDefault="003B1773" w:rsidP="003B1773">
            <w:pPr>
              <w:jc w:val="both"/>
              <w:rPr>
                <w:rFonts w:ascii="Arial" w:hAnsi="Arial" w:cs="Arial"/>
                <w:sz w:val="24"/>
                <w:szCs w:val="24"/>
              </w:rPr>
            </w:pPr>
            <w:r w:rsidRPr="00175E59">
              <w:rPr>
                <w:rFonts w:ascii="Arial" w:hAnsi="Arial" w:cs="Arial"/>
                <w:sz w:val="24"/>
                <w:szCs w:val="24"/>
              </w:rPr>
              <w:t>X</w:t>
            </w:r>
          </w:p>
        </w:tc>
      </w:tr>
      <w:tr w:rsidR="003B1773" w:rsidRPr="00175E59" w14:paraId="27BC3758" w14:textId="77777777" w:rsidTr="008A4185">
        <w:trPr>
          <w:trHeight w:val="309"/>
          <w:jc w:val="center"/>
        </w:trPr>
        <w:tc>
          <w:tcPr>
            <w:tcW w:w="326" w:type="pct"/>
            <w:shd w:val="clear" w:color="auto" w:fill="auto"/>
            <w:tcMar>
              <w:top w:w="15" w:type="dxa"/>
              <w:left w:w="56" w:type="dxa"/>
              <w:bottom w:w="0" w:type="dxa"/>
              <w:right w:w="56" w:type="dxa"/>
            </w:tcMar>
            <w:vAlign w:val="center"/>
          </w:tcPr>
          <w:p w14:paraId="3BA513BC"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3.3</w:t>
            </w:r>
          </w:p>
        </w:tc>
        <w:tc>
          <w:tcPr>
            <w:tcW w:w="804" w:type="pct"/>
            <w:shd w:val="clear" w:color="auto" w:fill="auto"/>
            <w:tcMar>
              <w:top w:w="15" w:type="dxa"/>
              <w:left w:w="56" w:type="dxa"/>
              <w:bottom w:w="0" w:type="dxa"/>
              <w:right w:w="56" w:type="dxa"/>
            </w:tcMar>
            <w:vAlign w:val="center"/>
          </w:tcPr>
          <w:p w14:paraId="46F2D529"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Procedimiento:</w:t>
            </w:r>
          </w:p>
        </w:tc>
        <w:tc>
          <w:tcPr>
            <w:tcW w:w="3870" w:type="pct"/>
            <w:gridSpan w:val="10"/>
            <w:shd w:val="clear" w:color="auto" w:fill="auto"/>
            <w:tcMar>
              <w:top w:w="15" w:type="dxa"/>
              <w:left w:w="56" w:type="dxa"/>
              <w:bottom w:w="0" w:type="dxa"/>
              <w:right w:w="56" w:type="dxa"/>
            </w:tcMar>
            <w:vAlign w:val="center"/>
          </w:tcPr>
          <w:p w14:paraId="6CE852C5" w14:textId="063B5665" w:rsidR="00940C06" w:rsidRPr="00175E59" w:rsidRDefault="00175E59" w:rsidP="0038549D">
            <w:pPr>
              <w:jc w:val="both"/>
              <w:rPr>
                <w:rFonts w:ascii="Arial" w:hAnsi="Arial" w:cs="Arial"/>
                <w:sz w:val="24"/>
                <w:szCs w:val="24"/>
              </w:rPr>
            </w:pPr>
            <w:r w:rsidRPr="00175E59">
              <w:rPr>
                <w:rFonts w:ascii="Arial" w:hAnsi="Arial" w:cs="Arial"/>
                <w:sz w:val="24"/>
                <w:szCs w:val="24"/>
              </w:rPr>
              <w:t>Cumplido el tiempo de retención conservar totalmente en medio técnico y soporte papel, ya que la documentación adquiere valores históricos que generan conocimientos e interacción de estudiantes, cuerpo académico y comunidad.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 la Vicerrectoría de Innovación y Emprendimiento con el acompañamiento del grupo de Gestión Documental y Función Notarial.</w:t>
            </w:r>
          </w:p>
        </w:tc>
      </w:tr>
    </w:tbl>
    <w:p w14:paraId="7AA3F478"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175E59"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175E59" w:rsidRDefault="003B1773" w:rsidP="003B1773">
            <w:pPr>
              <w:jc w:val="both"/>
              <w:rPr>
                <w:rFonts w:ascii="Arial" w:hAnsi="Arial" w:cs="Arial"/>
                <w:b/>
                <w:bCs/>
                <w:sz w:val="24"/>
                <w:szCs w:val="24"/>
              </w:rPr>
            </w:pPr>
            <w:r w:rsidRPr="00175E59">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175E59" w:rsidRDefault="003B1773" w:rsidP="003B1773">
            <w:pPr>
              <w:jc w:val="both"/>
              <w:rPr>
                <w:rFonts w:ascii="Arial" w:hAnsi="Arial" w:cs="Arial"/>
                <w:sz w:val="24"/>
                <w:szCs w:val="24"/>
              </w:rPr>
            </w:pPr>
            <w:r w:rsidRPr="00175E59">
              <w:rPr>
                <w:rFonts w:ascii="Arial" w:hAnsi="Arial" w:cs="Arial"/>
                <w:sz w:val="24"/>
                <w:szCs w:val="24"/>
              </w:rPr>
              <w:t>X</w:t>
            </w:r>
          </w:p>
        </w:tc>
        <w:tc>
          <w:tcPr>
            <w:tcW w:w="854" w:type="pct"/>
            <w:gridSpan w:val="2"/>
            <w:shd w:val="clear" w:color="auto" w:fill="auto"/>
            <w:vAlign w:val="center"/>
          </w:tcPr>
          <w:p w14:paraId="33F470BA" w14:textId="77777777" w:rsidR="003B1773" w:rsidRPr="00175E59" w:rsidRDefault="003B1773" w:rsidP="003B1773">
            <w:pPr>
              <w:jc w:val="both"/>
              <w:rPr>
                <w:rFonts w:ascii="Arial" w:hAnsi="Arial" w:cs="Arial"/>
                <w:b/>
                <w:bCs/>
                <w:sz w:val="24"/>
                <w:szCs w:val="24"/>
              </w:rPr>
            </w:pPr>
            <w:r w:rsidRPr="00175E59">
              <w:rPr>
                <w:rFonts w:ascii="Arial" w:hAnsi="Arial" w:cs="Arial"/>
                <w:b/>
                <w:bCs/>
                <w:sz w:val="24"/>
                <w:szCs w:val="24"/>
              </w:rPr>
              <w:t xml:space="preserve">No </w:t>
            </w:r>
          </w:p>
        </w:tc>
        <w:tc>
          <w:tcPr>
            <w:tcW w:w="853" w:type="pct"/>
            <w:shd w:val="clear" w:color="auto" w:fill="auto"/>
            <w:vAlign w:val="center"/>
          </w:tcPr>
          <w:p w14:paraId="43955554" w14:textId="77777777" w:rsidR="003B1773" w:rsidRPr="00175E59" w:rsidRDefault="003B1773" w:rsidP="003B1773">
            <w:pPr>
              <w:jc w:val="both"/>
              <w:rPr>
                <w:rFonts w:ascii="Arial" w:hAnsi="Arial" w:cs="Arial"/>
                <w:sz w:val="24"/>
                <w:szCs w:val="24"/>
              </w:rPr>
            </w:pPr>
          </w:p>
        </w:tc>
      </w:tr>
      <w:tr w:rsidR="003B1773" w:rsidRPr="00175E59"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175E59" w:rsidRDefault="003B1773" w:rsidP="003B1773">
            <w:pPr>
              <w:jc w:val="both"/>
              <w:rPr>
                <w:rFonts w:ascii="Arial" w:hAnsi="Arial" w:cs="Arial"/>
                <w:b/>
                <w:bCs/>
                <w:sz w:val="24"/>
                <w:szCs w:val="24"/>
              </w:rPr>
            </w:pPr>
            <w:r w:rsidRPr="00175E59">
              <w:rPr>
                <w:rFonts w:ascii="Arial" w:hAnsi="Arial" w:cs="Arial"/>
                <w:b/>
                <w:bCs/>
                <w:sz w:val="24"/>
                <w:szCs w:val="24"/>
              </w:rPr>
              <w:t xml:space="preserve">Si </w:t>
            </w:r>
          </w:p>
        </w:tc>
        <w:tc>
          <w:tcPr>
            <w:tcW w:w="324" w:type="pct"/>
            <w:shd w:val="clear" w:color="auto" w:fill="auto"/>
            <w:vAlign w:val="center"/>
          </w:tcPr>
          <w:p w14:paraId="2B679C4A" w14:textId="77777777" w:rsidR="003B1773" w:rsidRPr="00175E59"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175E59" w:rsidRDefault="003B1773" w:rsidP="003B1773">
            <w:pPr>
              <w:jc w:val="both"/>
              <w:rPr>
                <w:rFonts w:ascii="Arial" w:hAnsi="Arial" w:cs="Arial"/>
                <w:b/>
                <w:bCs/>
                <w:sz w:val="24"/>
                <w:szCs w:val="24"/>
              </w:rPr>
            </w:pPr>
            <w:r w:rsidRPr="00175E59">
              <w:rPr>
                <w:rFonts w:ascii="Arial" w:hAnsi="Arial" w:cs="Arial"/>
                <w:b/>
                <w:bCs/>
                <w:sz w:val="24"/>
                <w:szCs w:val="24"/>
              </w:rPr>
              <w:t xml:space="preserve">No </w:t>
            </w:r>
          </w:p>
        </w:tc>
        <w:tc>
          <w:tcPr>
            <w:tcW w:w="390" w:type="pct"/>
            <w:shd w:val="clear" w:color="auto" w:fill="auto"/>
            <w:vAlign w:val="center"/>
          </w:tcPr>
          <w:p w14:paraId="71D032A0" w14:textId="77777777" w:rsidR="003B1773" w:rsidRPr="00175E59"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175E59" w:rsidRDefault="003B1773" w:rsidP="003B1773">
            <w:pPr>
              <w:jc w:val="both"/>
              <w:rPr>
                <w:rFonts w:ascii="Arial" w:hAnsi="Arial" w:cs="Arial"/>
                <w:sz w:val="24"/>
                <w:szCs w:val="24"/>
              </w:rPr>
            </w:pPr>
            <w:r w:rsidRPr="00175E59">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175E59" w:rsidRDefault="003B1773" w:rsidP="003B1773">
            <w:pPr>
              <w:jc w:val="both"/>
              <w:rPr>
                <w:rFonts w:ascii="Arial" w:hAnsi="Arial" w:cs="Arial"/>
                <w:sz w:val="24"/>
                <w:szCs w:val="24"/>
              </w:rPr>
            </w:pPr>
          </w:p>
        </w:tc>
      </w:tr>
      <w:tr w:rsidR="003B1773" w:rsidRPr="00175E59"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175E59" w:rsidRDefault="003B1773" w:rsidP="003B1773">
            <w:pPr>
              <w:jc w:val="both"/>
              <w:rPr>
                <w:rFonts w:ascii="Arial" w:hAnsi="Arial" w:cs="Arial"/>
                <w:sz w:val="24"/>
                <w:szCs w:val="24"/>
              </w:rPr>
            </w:pPr>
          </w:p>
        </w:tc>
      </w:tr>
    </w:tbl>
    <w:p w14:paraId="3E6C6FAC"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175E59">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175E59" w14:paraId="089A20FD"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175E59" w:rsidRDefault="003B1773" w:rsidP="003B1773">
            <w:pPr>
              <w:pStyle w:val="NormalWeb"/>
              <w:spacing w:before="0" w:beforeAutospacing="0" w:after="0" w:afterAutospacing="0" w:line="276" w:lineRule="auto"/>
              <w:jc w:val="both"/>
              <w:rPr>
                <w:rFonts w:ascii="Arial" w:hAnsi="Arial" w:cs="Arial"/>
              </w:rPr>
            </w:pPr>
            <w:r w:rsidRPr="00175E59">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175E59" w:rsidRDefault="003B1773" w:rsidP="003B1773">
            <w:pPr>
              <w:pStyle w:val="NormalWeb"/>
              <w:spacing w:before="0" w:beforeAutospacing="0" w:after="0" w:afterAutospacing="0" w:line="276" w:lineRule="auto"/>
              <w:jc w:val="both"/>
              <w:rPr>
                <w:rFonts w:ascii="Arial" w:hAnsi="Arial" w:cs="Arial"/>
                <w:b/>
                <w:bCs/>
              </w:rPr>
            </w:pPr>
            <w:r w:rsidRPr="00175E59">
              <w:rPr>
                <w:rFonts w:ascii="Arial" w:hAnsi="Arial" w:cs="Arial"/>
                <w:b/>
                <w:bCs/>
              </w:rPr>
              <w:t>Elaboró:</w:t>
            </w:r>
          </w:p>
        </w:tc>
        <w:tc>
          <w:tcPr>
            <w:tcW w:w="3416" w:type="pct"/>
            <w:shd w:val="clear" w:color="auto" w:fill="auto"/>
            <w:tcMar>
              <w:top w:w="15" w:type="dxa"/>
              <w:left w:w="56" w:type="dxa"/>
              <w:bottom w:w="0" w:type="dxa"/>
              <w:right w:w="56" w:type="dxa"/>
            </w:tcMar>
            <w:vAlign w:val="center"/>
          </w:tcPr>
          <w:p w14:paraId="5BEC0574" w14:textId="77777777" w:rsidR="003B1773" w:rsidRPr="00175E59" w:rsidRDefault="003B1773" w:rsidP="003B1773">
            <w:pPr>
              <w:jc w:val="both"/>
              <w:rPr>
                <w:rFonts w:ascii="Arial" w:hAnsi="Arial" w:cs="Arial"/>
                <w:sz w:val="24"/>
                <w:szCs w:val="24"/>
              </w:rPr>
            </w:pPr>
            <w:r w:rsidRPr="00175E59">
              <w:rPr>
                <w:rFonts w:ascii="Arial" w:hAnsi="Arial" w:cs="Arial"/>
                <w:sz w:val="24"/>
                <w:szCs w:val="24"/>
              </w:rPr>
              <w:t xml:space="preserve">Oscar Mora Calderón </w:t>
            </w:r>
          </w:p>
        </w:tc>
      </w:tr>
      <w:tr w:rsidR="003B1773" w:rsidRPr="00175E59" w14:paraId="2FF28437"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175E59" w:rsidRDefault="003B1773" w:rsidP="003B1773">
            <w:pPr>
              <w:pStyle w:val="NormalWeb"/>
              <w:spacing w:before="0" w:beforeAutospacing="0" w:after="0" w:afterAutospacing="0" w:line="276" w:lineRule="auto"/>
              <w:jc w:val="both"/>
              <w:rPr>
                <w:rFonts w:ascii="Arial" w:hAnsi="Arial" w:cs="Arial"/>
              </w:rPr>
            </w:pPr>
            <w:r w:rsidRPr="00175E59">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175E59" w:rsidRDefault="003B1773" w:rsidP="003B1773">
            <w:pPr>
              <w:pStyle w:val="NormalWeb"/>
              <w:spacing w:before="0" w:beforeAutospacing="0" w:after="0" w:afterAutospacing="0" w:line="276" w:lineRule="auto"/>
              <w:jc w:val="both"/>
              <w:rPr>
                <w:rFonts w:ascii="Arial" w:hAnsi="Arial" w:cs="Arial"/>
                <w:b/>
                <w:bCs/>
              </w:rPr>
            </w:pPr>
            <w:r w:rsidRPr="00175E59">
              <w:rPr>
                <w:rFonts w:ascii="Arial" w:hAnsi="Arial" w:cs="Arial"/>
                <w:b/>
                <w:bCs/>
              </w:rPr>
              <w:t>Fecha de la descripción:</w:t>
            </w:r>
          </w:p>
        </w:tc>
        <w:tc>
          <w:tcPr>
            <w:tcW w:w="3416" w:type="pct"/>
            <w:shd w:val="clear" w:color="auto" w:fill="auto"/>
            <w:tcMar>
              <w:top w:w="15" w:type="dxa"/>
              <w:left w:w="56" w:type="dxa"/>
              <w:bottom w:w="0" w:type="dxa"/>
              <w:right w:w="56" w:type="dxa"/>
            </w:tcMar>
            <w:vAlign w:val="center"/>
            <w:hideMark/>
          </w:tcPr>
          <w:p w14:paraId="42CC3AA4" w14:textId="77777777" w:rsidR="003B1773" w:rsidRPr="00175E59" w:rsidRDefault="003B1773" w:rsidP="003B1773">
            <w:pPr>
              <w:jc w:val="both"/>
              <w:rPr>
                <w:rFonts w:ascii="Arial" w:hAnsi="Arial" w:cs="Arial"/>
                <w:sz w:val="24"/>
                <w:szCs w:val="24"/>
              </w:rPr>
            </w:pPr>
            <w:r w:rsidRPr="00175E59">
              <w:rPr>
                <w:rFonts w:ascii="Arial" w:hAnsi="Arial" w:cs="Arial"/>
                <w:sz w:val="24"/>
                <w:szCs w:val="24"/>
              </w:rPr>
              <w:t>2/12/2020</w:t>
            </w:r>
          </w:p>
        </w:tc>
      </w:tr>
      <w:tr w:rsidR="003B1773" w:rsidRPr="00175E59" w14:paraId="29A839AC" w14:textId="77777777" w:rsidTr="008A4185">
        <w:trPr>
          <w:trHeight w:val="309"/>
          <w:jc w:val="center"/>
        </w:trPr>
        <w:tc>
          <w:tcPr>
            <w:tcW w:w="351" w:type="pct"/>
            <w:shd w:val="clear" w:color="auto" w:fill="auto"/>
            <w:tcMar>
              <w:top w:w="15" w:type="dxa"/>
              <w:left w:w="56" w:type="dxa"/>
              <w:bottom w:w="0" w:type="dxa"/>
              <w:right w:w="56" w:type="dxa"/>
            </w:tcMar>
            <w:vAlign w:val="center"/>
          </w:tcPr>
          <w:p w14:paraId="05C6F545"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234" w:type="pct"/>
            <w:shd w:val="clear" w:color="auto" w:fill="auto"/>
            <w:tcMar>
              <w:top w:w="15" w:type="dxa"/>
              <w:left w:w="56" w:type="dxa"/>
              <w:bottom w:w="0" w:type="dxa"/>
              <w:right w:w="56" w:type="dxa"/>
            </w:tcMar>
            <w:vAlign w:val="center"/>
          </w:tcPr>
          <w:p w14:paraId="3CBC0FE3"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3416" w:type="pct"/>
            <w:shd w:val="clear" w:color="auto" w:fill="auto"/>
            <w:tcMar>
              <w:top w:w="15" w:type="dxa"/>
              <w:left w:w="56" w:type="dxa"/>
              <w:bottom w:w="0" w:type="dxa"/>
              <w:right w:w="56" w:type="dxa"/>
            </w:tcMar>
            <w:vAlign w:val="center"/>
          </w:tcPr>
          <w:p w14:paraId="15BA5DAC" w14:textId="77777777" w:rsidR="003B1773" w:rsidRPr="00175E59" w:rsidRDefault="003B1773" w:rsidP="003B1773">
            <w:pPr>
              <w:jc w:val="both"/>
              <w:rPr>
                <w:rFonts w:ascii="Arial" w:hAnsi="Arial" w:cs="Arial"/>
                <w:sz w:val="24"/>
                <w:szCs w:val="24"/>
              </w:rPr>
            </w:pPr>
          </w:p>
        </w:tc>
      </w:tr>
    </w:tbl>
    <w:p w14:paraId="35B93914" w14:textId="77777777" w:rsidR="003B1773" w:rsidRPr="00175E59"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175E59" w:rsidRDefault="008133ED" w:rsidP="003B1773">
      <w:pPr>
        <w:jc w:val="both"/>
        <w:rPr>
          <w:rFonts w:ascii="Arial" w:eastAsia="Arial" w:hAnsi="Arial" w:cs="Arial"/>
          <w:sz w:val="24"/>
          <w:szCs w:val="24"/>
        </w:rPr>
      </w:pPr>
    </w:p>
    <w:p w14:paraId="59988D5F" w14:textId="77777777" w:rsidR="003A2443" w:rsidRPr="00175E59" w:rsidRDefault="003A2443">
      <w:pPr>
        <w:jc w:val="both"/>
        <w:rPr>
          <w:rFonts w:ascii="Arial" w:eastAsia="Arial" w:hAnsi="Arial" w:cs="Arial"/>
          <w:sz w:val="24"/>
          <w:szCs w:val="24"/>
        </w:rPr>
      </w:pPr>
    </w:p>
    <w:p w14:paraId="024585D4" w14:textId="77777777" w:rsidR="00412401" w:rsidRPr="00175E59" w:rsidRDefault="00412401">
      <w:pPr>
        <w:jc w:val="both"/>
        <w:rPr>
          <w:rFonts w:ascii="Arial" w:eastAsia="Arial" w:hAnsi="Arial" w:cs="Arial"/>
          <w:sz w:val="24"/>
          <w:szCs w:val="24"/>
        </w:rPr>
      </w:pPr>
    </w:p>
    <w:p w14:paraId="53C74371" w14:textId="77777777" w:rsidR="00175E59" w:rsidRPr="00175E59" w:rsidRDefault="00175E59">
      <w:pPr>
        <w:jc w:val="both"/>
        <w:rPr>
          <w:rFonts w:ascii="Arial" w:eastAsia="Arial" w:hAnsi="Arial" w:cs="Arial"/>
          <w:sz w:val="24"/>
          <w:szCs w:val="24"/>
        </w:rPr>
      </w:pPr>
    </w:p>
    <w:sectPr w:rsidR="00175E59" w:rsidRPr="00175E59"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1B4B1B" w14:textId="77777777" w:rsidR="00693822" w:rsidRDefault="00693822">
      <w:r>
        <w:separator/>
      </w:r>
    </w:p>
  </w:endnote>
  <w:endnote w:type="continuationSeparator" w:id="0">
    <w:p w14:paraId="5FCE9D92" w14:textId="77777777" w:rsidR="00693822" w:rsidRDefault="00693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9D68D" w14:textId="77777777" w:rsidR="00693822" w:rsidRDefault="00693822">
      <w:r>
        <w:separator/>
      </w:r>
    </w:p>
  </w:footnote>
  <w:footnote w:type="continuationSeparator" w:id="0">
    <w:p w14:paraId="5359DF7F" w14:textId="77777777" w:rsidR="00693822" w:rsidRDefault="006938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693822"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5CB6A29A"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B859AF" w:rsidRPr="00B859AF">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B859AF" w:rsidRPr="00B859AF">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211C"/>
    <w:rsid w:val="000026A0"/>
    <w:rsid w:val="000204DA"/>
    <w:rsid w:val="00043467"/>
    <w:rsid w:val="0004448C"/>
    <w:rsid w:val="0005165C"/>
    <w:rsid w:val="0005687E"/>
    <w:rsid w:val="00063AB1"/>
    <w:rsid w:val="00065729"/>
    <w:rsid w:val="0007039A"/>
    <w:rsid w:val="00076CEC"/>
    <w:rsid w:val="00092359"/>
    <w:rsid w:val="000960C8"/>
    <w:rsid w:val="000B0256"/>
    <w:rsid w:val="000B2634"/>
    <w:rsid w:val="000B2F49"/>
    <w:rsid w:val="000C1009"/>
    <w:rsid w:val="000C5B32"/>
    <w:rsid w:val="000D633E"/>
    <w:rsid w:val="000E31F1"/>
    <w:rsid w:val="000F0BC2"/>
    <w:rsid w:val="00107188"/>
    <w:rsid w:val="00107F38"/>
    <w:rsid w:val="00114C94"/>
    <w:rsid w:val="00125D36"/>
    <w:rsid w:val="00127E44"/>
    <w:rsid w:val="00131BB9"/>
    <w:rsid w:val="00134DB7"/>
    <w:rsid w:val="00142965"/>
    <w:rsid w:val="00143EB0"/>
    <w:rsid w:val="00153610"/>
    <w:rsid w:val="00161E1A"/>
    <w:rsid w:val="00165585"/>
    <w:rsid w:val="00171786"/>
    <w:rsid w:val="00174FAE"/>
    <w:rsid w:val="00175E59"/>
    <w:rsid w:val="001965A8"/>
    <w:rsid w:val="001B44A3"/>
    <w:rsid w:val="001C58BE"/>
    <w:rsid w:val="001C68ED"/>
    <w:rsid w:val="001E7EA9"/>
    <w:rsid w:val="001F4AAF"/>
    <w:rsid w:val="001F5641"/>
    <w:rsid w:val="002031A1"/>
    <w:rsid w:val="0020623C"/>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508C4"/>
    <w:rsid w:val="00351EBE"/>
    <w:rsid w:val="00365D16"/>
    <w:rsid w:val="00372EC1"/>
    <w:rsid w:val="00376CEB"/>
    <w:rsid w:val="00381D79"/>
    <w:rsid w:val="0038549D"/>
    <w:rsid w:val="003926A0"/>
    <w:rsid w:val="003A2443"/>
    <w:rsid w:val="003A3A72"/>
    <w:rsid w:val="003A7597"/>
    <w:rsid w:val="003B00D1"/>
    <w:rsid w:val="003B1773"/>
    <w:rsid w:val="003B565E"/>
    <w:rsid w:val="003B6A9A"/>
    <w:rsid w:val="003D2322"/>
    <w:rsid w:val="003E1F06"/>
    <w:rsid w:val="003E247F"/>
    <w:rsid w:val="003E759C"/>
    <w:rsid w:val="003F6424"/>
    <w:rsid w:val="0040005C"/>
    <w:rsid w:val="00405651"/>
    <w:rsid w:val="00405DED"/>
    <w:rsid w:val="00406E4D"/>
    <w:rsid w:val="00407397"/>
    <w:rsid w:val="0040793D"/>
    <w:rsid w:val="00407D6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B626A"/>
    <w:rsid w:val="004C080A"/>
    <w:rsid w:val="004D1441"/>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376CD"/>
    <w:rsid w:val="00646E2F"/>
    <w:rsid w:val="00652390"/>
    <w:rsid w:val="006609A5"/>
    <w:rsid w:val="00662B67"/>
    <w:rsid w:val="00672D07"/>
    <w:rsid w:val="006757E9"/>
    <w:rsid w:val="00682219"/>
    <w:rsid w:val="00690022"/>
    <w:rsid w:val="00693822"/>
    <w:rsid w:val="006A36CF"/>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57AB8"/>
    <w:rsid w:val="0076090C"/>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900F4"/>
    <w:rsid w:val="00892925"/>
    <w:rsid w:val="00896FD7"/>
    <w:rsid w:val="008A1446"/>
    <w:rsid w:val="008B3AC0"/>
    <w:rsid w:val="008B4E23"/>
    <w:rsid w:val="008B59D4"/>
    <w:rsid w:val="008D1F8D"/>
    <w:rsid w:val="008E648D"/>
    <w:rsid w:val="008F75B4"/>
    <w:rsid w:val="00906C22"/>
    <w:rsid w:val="00906C56"/>
    <w:rsid w:val="00913D51"/>
    <w:rsid w:val="00940C06"/>
    <w:rsid w:val="00946DE1"/>
    <w:rsid w:val="00954479"/>
    <w:rsid w:val="00970012"/>
    <w:rsid w:val="00975602"/>
    <w:rsid w:val="00983761"/>
    <w:rsid w:val="0098658A"/>
    <w:rsid w:val="00992F4F"/>
    <w:rsid w:val="009A1235"/>
    <w:rsid w:val="009A5AA9"/>
    <w:rsid w:val="009A7441"/>
    <w:rsid w:val="009A7DC8"/>
    <w:rsid w:val="009B0437"/>
    <w:rsid w:val="009B1C02"/>
    <w:rsid w:val="009D32AC"/>
    <w:rsid w:val="009E3163"/>
    <w:rsid w:val="009E7E59"/>
    <w:rsid w:val="009F16F8"/>
    <w:rsid w:val="009F559F"/>
    <w:rsid w:val="00A146C3"/>
    <w:rsid w:val="00A22466"/>
    <w:rsid w:val="00A2720B"/>
    <w:rsid w:val="00A4070F"/>
    <w:rsid w:val="00A54FBD"/>
    <w:rsid w:val="00A56366"/>
    <w:rsid w:val="00A603D1"/>
    <w:rsid w:val="00A74B54"/>
    <w:rsid w:val="00A81DED"/>
    <w:rsid w:val="00A85318"/>
    <w:rsid w:val="00A91461"/>
    <w:rsid w:val="00A926A1"/>
    <w:rsid w:val="00A926FB"/>
    <w:rsid w:val="00A93C10"/>
    <w:rsid w:val="00AA6BC5"/>
    <w:rsid w:val="00AB087A"/>
    <w:rsid w:val="00AB7DD1"/>
    <w:rsid w:val="00AC3D0C"/>
    <w:rsid w:val="00AD18CA"/>
    <w:rsid w:val="00AD356A"/>
    <w:rsid w:val="00AE0906"/>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859AF"/>
    <w:rsid w:val="00B91080"/>
    <w:rsid w:val="00B914D5"/>
    <w:rsid w:val="00BB531C"/>
    <w:rsid w:val="00BD260B"/>
    <w:rsid w:val="00BD4F90"/>
    <w:rsid w:val="00BE0504"/>
    <w:rsid w:val="00C05C6E"/>
    <w:rsid w:val="00C06883"/>
    <w:rsid w:val="00C13A46"/>
    <w:rsid w:val="00C238F3"/>
    <w:rsid w:val="00C2776A"/>
    <w:rsid w:val="00C35D85"/>
    <w:rsid w:val="00C37473"/>
    <w:rsid w:val="00C5332B"/>
    <w:rsid w:val="00C535B7"/>
    <w:rsid w:val="00C54276"/>
    <w:rsid w:val="00C65823"/>
    <w:rsid w:val="00C761AD"/>
    <w:rsid w:val="00C8041E"/>
    <w:rsid w:val="00C85ADB"/>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209E"/>
    <w:rsid w:val="00D74876"/>
    <w:rsid w:val="00D84AD3"/>
    <w:rsid w:val="00D86401"/>
    <w:rsid w:val="00D87E1D"/>
    <w:rsid w:val="00D94E64"/>
    <w:rsid w:val="00DB197B"/>
    <w:rsid w:val="00DC550A"/>
    <w:rsid w:val="00DD2AEF"/>
    <w:rsid w:val="00DE003A"/>
    <w:rsid w:val="00DE2CF0"/>
    <w:rsid w:val="00DF4D56"/>
    <w:rsid w:val="00E166E6"/>
    <w:rsid w:val="00E167A9"/>
    <w:rsid w:val="00E16E10"/>
    <w:rsid w:val="00E31559"/>
    <w:rsid w:val="00E401FA"/>
    <w:rsid w:val="00E66C08"/>
    <w:rsid w:val="00E71461"/>
    <w:rsid w:val="00E77E89"/>
    <w:rsid w:val="00E878A5"/>
    <w:rsid w:val="00E878D4"/>
    <w:rsid w:val="00E91DFB"/>
    <w:rsid w:val="00E93327"/>
    <w:rsid w:val="00E950CF"/>
    <w:rsid w:val="00EB2CDA"/>
    <w:rsid w:val="00EC6A77"/>
    <w:rsid w:val="00EF4852"/>
    <w:rsid w:val="00F05D15"/>
    <w:rsid w:val="00F0650C"/>
    <w:rsid w:val="00F07A23"/>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A66251F4-8F66-4F4C-9AB4-C30072209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EF7BF-2A2E-4557-96A9-636B547BF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3</Pages>
  <Words>975</Words>
  <Characters>5563</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37</cp:revision>
  <cp:lastPrinted>2013-08-23T16:35:00Z</cp:lastPrinted>
  <dcterms:created xsi:type="dcterms:W3CDTF">2020-12-04T13:06:00Z</dcterms:created>
  <dcterms:modified xsi:type="dcterms:W3CDTF">2020-12-15T19:54:00Z</dcterms:modified>
</cp:coreProperties>
</file>