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A18A5" w14:textId="77777777" w:rsidR="00DB13DA" w:rsidRPr="00312AA3" w:rsidRDefault="00DB13DA" w:rsidP="00DB13DA">
      <w:pPr>
        <w:rPr>
          <w:rFonts w:ascii="Arial" w:hAnsi="Arial" w:cs="Arial"/>
          <w:sz w:val="24"/>
          <w:szCs w:val="24"/>
        </w:rPr>
      </w:pPr>
    </w:p>
    <w:p w14:paraId="15F0365B"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r w:rsidRPr="00312AA3">
        <w:rPr>
          <w:rFonts w:ascii="Arial" w:hAnsi="Arial" w:cs="Arial"/>
          <w:b/>
          <w:bCs/>
        </w:rPr>
        <w:t>1.</w:t>
      </w:r>
      <w:r w:rsidRPr="00312AA3">
        <w:rPr>
          <w:rFonts w:ascii="Arial" w:hAnsi="Arial" w:cs="Arial"/>
        </w:rPr>
        <w:t xml:space="preserve"> </w:t>
      </w:r>
      <w:r w:rsidRPr="00312AA3">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DB13DA" w:rsidRPr="00312AA3" w14:paraId="6D4F0972" w14:textId="77777777" w:rsidTr="008E3390">
        <w:trPr>
          <w:trHeight w:val="309"/>
          <w:jc w:val="center"/>
        </w:trPr>
        <w:tc>
          <w:tcPr>
            <w:tcW w:w="351" w:type="pct"/>
            <w:shd w:val="clear" w:color="auto" w:fill="auto"/>
            <w:tcMar>
              <w:top w:w="15" w:type="dxa"/>
              <w:left w:w="56" w:type="dxa"/>
              <w:bottom w:w="0" w:type="dxa"/>
              <w:right w:w="56" w:type="dxa"/>
            </w:tcMar>
            <w:vAlign w:val="center"/>
            <w:hideMark/>
          </w:tcPr>
          <w:p w14:paraId="3B61EE51"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3700682D"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25A95C84" w14:textId="77777777" w:rsidR="00DB13DA" w:rsidRPr="00312AA3" w:rsidRDefault="00DB13DA" w:rsidP="008E3390">
            <w:pPr>
              <w:rPr>
                <w:rFonts w:ascii="Arial" w:hAnsi="Arial" w:cs="Arial"/>
                <w:sz w:val="24"/>
                <w:szCs w:val="24"/>
              </w:rPr>
            </w:pPr>
            <w:r w:rsidRPr="00312AA3">
              <w:rPr>
                <w:rFonts w:ascii="Arial" w:hAnsi="Arial" w:cs="Arial"/>
                <w:sz w:val="24"/>
                <w:szCs w:val="24"/>
              </w:rPr>
              <w:t>ACTAS/ Actas de la Mesa Técnica de Alianzas y Convenios</w:t>
            </w:r>
          </w:p>
        </w:tc>
      </w:tr>
      <w:tr w:rsidR="00DB13DA" w:rsidRPr="00312AA3" w14:paraId="52DA7307" w14:textId="77777777" w:rsidTr="008E3390">
        <w:trPr>
          <w:trHeight w:val="809"/>
          <w:jc w:val="center"/>
        </w:trPr>
        <w:tc>
          <w:tcPr>
            <w:tcW w:w="351" w:type="pct"/>
            <w:shd w:val="clear" w:color="auto" w:fill="auto"/>
            <w:tcMar>
              <w:top w:w="15" w:type="dxa"/>
              <w:left w:w="56" w:type="dxa"/>
              <w:bottom w:w="0" w:type="dxa"/>
              <w:right w:w="56" w:type="dxa"/>
            </w:tcMar>
            <w:vAlign w:val="center"/>
            <w:hideMark/>
          </w:tcPr>
          <w:p w14:paraId="0C2A3DEC" w14:textId="77777777" w:rsidR="00DB13DA" w:rsidRPr="00312AA3" w:rsidRDefault="00DB13DA" w:rsidP="008E3390">
            <w:pPr>
              <w:pStyle w:val="NormalWeb"/>
              <w:spacing w:before="0" w:beforeAutospacing="0" w:after="0" w:afterAutospacing="0" w:line="276" w:lineRule="auto"/>
              <w:jc w:val="both"/>
              <w:rPr>
                <w:rFonts w:ascii="Arial" w:hAnsi="Arial" w:cs="Arial"/>
              </w:rPr>
            </w:pPr>
            <w:r w:rsidRPr="00312AA3">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4B96429A" w14:textId="77777777" w:rsidR="00DB13DA" w:rsidRPr="00312AA3" w:rsidRDefault="00DB13DA" w:rsidP="008E3390">
            <w:pPr>
              <w:pStyle w:val="NormalWeb"/>
              <w:spacing w:before="0" w:beforeAutospacing="0" w:after="0" w:afterAutospacing="0" w:line="276" w:lineRule="auto"/>
              <w:jc w:val="both"/>
              <w:rPr>
                <w:rFonts w:ascii="Arial" w:hAnsi="Arial" w:cs="Arial"/>
              </w:rPr>
            </w:pPr>
            <w:r w:rsidRPr="00312AA3">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5E85ECCE" w14:textId="31800AE4" w:rsidR="00DB13DA" w:rsidRPr="00312AA3" w:rsidRDefault="00DB5C10" w:rsidP="008E3390">
            <w:pPr>
              <w:jc w:val="both"/>
              <w:rPr>
                <w:rFonts w:ascii="Arial" w:hAnsi="Arial" w:cs="Arial"/>
                <w:sz w:val="24"/>
                <w:szCs w:val="24"/>
              </w:rPr>
            </w:pPr>
            <w:r w:rsidRPr="00312AA3">
              <w:rPr>
                <w:rFonts w:ascii="Arial" w:hAnsi="Arial" w:cs="Arial"/>
                <w:sz w:val="24"/>
                <w:szCs w:val="24"/>
              </w:rPr>
              <w:t>Los documentos de esta subserie dan a conocer decisiones de carácter administrativo sobre alianzas y convenios, lo anterior de conformidad con el Acuerdo 039 del 3 de diciembre de 2019. “Por el cual se modifica el Estatuto Organizacional de la Universidad Nacional Abierta y a Distancia (UNAD). Artículo 36. Funciones de la Vicerrectoría de Relaciones Inter sistémicas e Internacionales. Literal  S) Actuar como Secretaría Técnica de la Mesa Técnica de Alianzas y Convenios de la Organización, y participar en los demás comités y dispositivos institucionales que definan su membresía y a los que fuere convocado como invitado"</w:t>
            </w:r>
          </w:p>
        </w:tc>
      </w:tr>
      <w:tr w:rsidR="00DB13DA" w:rsidRPr="00312AA3" w14:paraId="3BECA8D2" w14:textId="77777777" w:rsidTr="008E3390">
        <w:trPr>
          <w:trHeight w:val="309"/>
          <w:jc w:val="center"/>
        </w:trPr>
        <w:tc>
          <w:tcPr>
            <w:tcW w:w="351" w:type="pct"/>
            <w:shd w:val="clear" w:color="auto" w:fill="auto"/>
            <w:tcMar>
              <w:top w:w="15" w:type="dxa"/>
              <w:left w:w="56" w:type="dxa"/>
              <w:bottom w:w="0" w:type="dxa"/>
              <w:right w:w="56" w:type="dxa"/>
            </w:tcMar>
            <w:vAlign w:val="center"/>
          </w:tcPr>
          <w:p w14:paraId="217BA55E" w14:textId="77777777" w:rsidR="00DB13DA" w:rsidRPr="00312AA3" w:rsidRDefault="00DB13DA" w:rsidP="008E3390">
            <w:pPr>
              <w:pStyle w:val="NormalWeb"/>
              <w:spacing w:before="0" w:beforeAutospacing="0" w:after="0" w:afterAutospacing="0" w:line="276" w:lineRule="auto"/>
              <w:jc w:val="both"/>
              <w:rPr>
                <w:rFonts w:ascii="Arial" w:eastAsia="Calibri" w:hAnsi="Arial" w:cs="Arial"/>
                <w:b/>
                <w:bCs/>
                <w:color w:val="000000"/>
                <w:kern w:val="24"/>
              </w:rPr>
            </w:pPr>
            <w:r w:rsidRPr="00312AA3">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1F83C81D" w14:textId="77777777" w:rsidR="00DB13DA" w:rsidRPr="00312AA3" w:rsidRDefault="00DB13DA" w:rsidP="008E3390">
            <w:pPr>
              <w:pStyle w:val="NormalWeb"/>
              <w:spacing w:before="0" w:beforeAutospacing="0" w:after="0" w:afterAutospacing="0" w:line="276" w:lineRule="auto"/>
              <w:jc w:val="both"/>
              <w:rPr>
                <w:rFonts w:ascii="Arial" w:eastAsia="Calibri" w:hAnsi="Arial" w:cs="Arial"/>
                <w:b/>
                <w:bCs/>
                <w:color w:val="000000"/>
                <w:kern w:val="24"/>
              </w:rPr>
            </w:pPr>
            <w:r w:rsidRPr="00312AA3">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1DA0C685" w14:textId="77777777" w:rsidR="00DB13DA" w:rsidRPr="00312AA3" w:rsidRDefault="00DB13DA" w:rsidP="008E3390">
            <w:pPr>
              <w:jc w:val="both"/>
              <w:rPr>
                <w:rFonts w:ascii="Arial" w:hAnsi="Arial" w:cs="Arial"/>
                <w:sz w:val="24"/>
                <w:szCs w:val="24"/>
              </w:rPr>
            </w:pPr>
            <w:r w:rsidRPr="00312AA3">
              <w:rPr>
                <w:rFonts w:ascii="Arial" w:hAnsi="Arial" w:cs="Arial"/>
                <w:sz w:val="24"/>
                <w:szCs w:val="24"/>
              </w:rPr>
              <w:t>VICERRECTORÍA DE RELACIONES INTERSISTÉMICAS E INTERNACIONALES 105</w:t>
            </w:r>
          </w:p>
        </w:tc>
      </w:tr>
      <w:tr w:rsidR="00DB13DA" w:rsidRPr="00312AA3" w14:paraId="55EBE190" w14:textId="77777777" w:rsidTr="008E3390">
        <w:trPr>
          <w:trHeight w:val="309"/>
          <w:jc w:val="center"/>
        </w:trPr>
        <w:tc>
          <w:tcPr>
            <w:tcW w:w="351" w:type="pct"/>
            <w:shd w:val="clear" w:color="auto" w:fill="auto"/>
            <w:tcMar>
              <w:top w:w="15" w:type="dxa"/>
              <w:left w:w="56" w:type="dxa"/>
              <w:bottom w:w="0" w:type="dxa"/>
              <w:right w:w="56" w:type="dxa"/>
            </w:tcMar>
            <w:vAlign w:val="center"/>
          </w:tcPr>
          <w:p w14:paraId="0115453A" w14:textId="77777777" w:rsidR="00DB13DA" w:rsidRPr="00312AA3" w:rsidRDefault="00DB13DA" w:rsidP="008E3390">
            <w:pPr>
              <w:pStyle w:val="NormalWeb"/>
              <w:spacing w:before="0" w:beforeAutospacing="0" w:after="0" w:afterAutospacing="0" w:line="276" w:lineRule="auto"/>
              <w:jc w:val="both"/>
              <w:rPr>
                <w:rFonts w:ascii="Arial" w:eastAsia="Calibri" w:hAnsi="Arial" w:cs="Arial"/>
                <w:b/>
                <w:bCs/>
                <w:color w:val="000000"/>
                <w:kern w:val="24"/>
              </w:rPr>
            </w:pPr>
            <w:r w:rsidRPr="00312AA3">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80D79BE" w14:textId="77777777" w:rsidR="00DB13DA" w:rsidRPr="00312AA3" w:rsidRDefault="00DB13DA" w:rsidP="008E3390">
            <w:pPr>
              <w:pStyle w:val="NormalWeb"/>
              <w:spacing w:before="0" w:beforeAutospacing="0" w:after="0" w:afterAutospacing="0" w:line="276" w:lineRule="auto"/>
              <w:jc w:val="both"/>
              <w:rPr>
                <w:rFonts w:ascii="Arial" w:eastAsia="Calibri" w:hAnsi="Arial" w:cs="Arial"/>
                <w:b/>
                <w:bCs/>
                <w:color w:val="000000"/>
                <w:kern w:val="24"/>
              </w:rPr>
            </w:pPr>
            <w:r w:rsidRPr="00312AA3">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2804464B" w14:textId="77777777" w:rsidR="00DB13DA" w:rsidRPr="00312AA3" w:rsidRDefault="00DB13DA" w:rsidP="008E3390">
            <w:pPr>
              <w:jc w:val="both"/>
              <w:rPr>
                <w:rFonts w:ascii="Arial" w:hAnsi="Arial" w:cs="Arial"/>
                <w:b/>
                <w:bCs/>
                <w:sz w:val="24"/>
                <w:szCs w:val="24"/>
              </w:rPr>
            </w:pPr>
            <w:r w:rsidRPr="00312AA3">
              <w:rPr>
                <w:rFonts w:ascii="Arial" w:hAnsi="Arial" w:cs="Arial"/>
                <w:b/>
                <w:bCs/>
                <w:sz w:val="24"/>
                <w:szCs w:val="24"/>
              </w:rPr>
              <w:t xml:space="preserve">Desde: </w:t>
            </w:r>
          </w:p>
        </w:tc>
        <w:tc>
          <w:tcPr>
            <w:tcW w:w="854" w:type="pct"/>
            <w:shd w:val="clear" w:color="auto" w:fill="auto"/>
            <w:vAlign w:val="center"/>
          </w:tcPr>
          <w:p w14:paraId="4709692D" w14:textId="77777777" w:rsidR="00DB13DA" w:rsidRPr="00312AA3" w:rsidRDefault="00DB13DA" w:rsidP="008E3390">
            <w:pPr>
              <w:jc w:val="both"/>
              <w:rPr>
                <w:rFonts w:ascii="Arial" w:hAnsi="Arial" w:cs="Arial"/>
                <w:sz w:val="24"/>
                <w:szCs w:val="24"/>
              </w:rPr>
            </w:pPr>
          </w:p>
        </w:tc>
        <w:tc>
          <w:tcPr>
            <w:tcW w:w="854" w:type="pct"/>
            <w:shd w:val="clear" w:color="auto" w:fill="auto"/>
            <w:vAlign w:val="center"/>
          </w:tcPr>
          <w:p w14:paraId="4F14AED6" w14:textId="77777777" w:rsidR="00DB13DA" w:rsidRPr="00312AA3" w:rsidRDefault="00DB13DA" w:rsidP="008E3390">
            <w:pPr>
              <w:jc w:val="both"/>
              <w:rPr>
                <w:rFonts w:ascii="Arial" w:hAnsi="Arial" w:cs="Arial"/>
                <w:b/>
                <w:bCs/>
                <w:sz w:val="24"/>
                <w:szCs w:val="24"/>
              </w:rPr>
            </w:pPr>
            <w:r w:rsidRPr="00312AA3">
              <w:rPr>
                <w:rFonts w:ascii="Arial" w:hAnsi="Arial" w:cs="Arial"/>
                <w:b/>
                <w:bCs/>
                <w:sz w:val="24"/>
                <w:szCs w:val="24"/>
              </w:rPr>
              <w:t>Hasta:</w:t>
            </w:r>
          </w:p>
        </w:tc>
        <w:tc>
          <w:tcPr>
            <w:tcW w:w="853" w:type="pct"/>
            <w:shd w:val="clear" w:color="auto" w:fill="auto"/>
            <w:vAlign w:val="center"/>
          </w:tcPr>
          <w:p w14:paraId="678434D6" w14:textId="77777777" w:rsidR="00DB13DA" w:rsidRPr="00312AA3" w:rsidRDefault="00DB13DA" w:rsidP="008E3390">
            <w:pPr>
              <w:jc w:val="both"/>
              <w:rPr>
                <w:rFonts w:ascii="Arial" w:hAnsi="Arial" w:cs="Arial"/>
                <w:sz w:val="24"/>
                <w:szCs w:val="24"/>
              </w:rPr>
            </w:pPr>
          </w:p>
        </w:tc>
      </w:tr>
    </w:tbl>
    <w:p w14:paraId="553939C3" w14:textId="77777777" w:rsidR="00DB13DA" w:rsidRPr="00312AA3" w:rsidRDefault="00DB13DA" w:rsidP="00DB13DA">
      <w:pPr>
        <w:pStyle w:val="NormalWeb"/>
        <w:spacing w:before="0" w:beforeAutospacing="0" w:after="0" w:afterAutospacing="0" w:line="276" w:lineRule="auto"/>
        <w:jc w:val="both"/>
        <w:rPr>
          <w:rFonts w:ascii="Arial" w:hAnsi="Arial" w:cs="Arial"/>
        </w:rPr>
      </w:pPr>
    </w:p>
    <w:p w14:paraId="0F69CFA0" w14:textId="77777777" w:rsidR="00DB13DA" w:rsidRPr="00312AA3" w:rsidRDefault="00DB13DA" w:rsidP="00DB13DA">
      <w:pPr>
        <w:pStyle w:val="NormalWeb"/>
        <w:spacing w:before="0" w:beforeAutospacing="0" w:after="0" w:afterAutospacing="0" w:line="276" w:lineRule="auto"/>
        <w:jc w:val="both"/>
        <w:rPr>
          <w:rFonts w:ascii="Arial" w:hAnsi="Arial" w:cs="Arial"/>
        </w:rPr>
      </w:pPr>
    </w:p>
    <w:p w14:paraId="694EE22C" w14:textId="77777777" w:rsidR="00DB13DA" w:rsidRPr="00312AA3" w:rsidRDefault="00DB13DA" w:rsidP="00DB13DA">
      <w:pPr>
        <w:pStyle w:val="NormalWeb"/>
        <w:spacing w:before="0" w:beforeAutospacing="0" w:after="0" w:afterAutospacing="0" w:line="276" w:lineRule="auto"/>
        <w:jc w:val="both"/>
        <w:rPr>
          <w:rFonts w:ascii="Arial" w:hAnsi="Arial" w:cs="Arial"/>
        </w:rPr>
      </w:pPr>
      <w:r w:rsidRPr="00312AA3">
        <w:rPr>
          <w:rFonts w:ascii="Arial" w:hAnsi="Arial" w:cs="Arial"/>
          <w:b/>
          <w:bCs/>
        </w:rPr>
        <w:t xml:space="preserve">2. </w:t>
      </w:r>
      <w:r w:rsidRPr="00312AA3">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19"/>
        <w:gridCol w:w="2221"/>
        <w:gridCol w:w="2220"/>
        <w:gridCol w:w="1937"/>
        <w:gridCol w:w="2000"/>
        <w:gridCol w:w="1815"/>
      </w:tblGrid>
      <w:tr w:rsidR="00DB13DA" w:rsidRPr="00312AA3" w14:paraId="31894D2D" w14:textId="77777777" w:rsidTr="008E3390">
        <w:trPr>
          <w:trHeight w:val="309"/>
          <w:jc w:val="center"/>
        </w:trPr>
        <w:tc>
          <w:tcPr>
            <w:tcW w:w="351" w:type="pct"/>
            <w:shd w:val="clear" w:color="auto" w:fill="auto"/>
            <w:tcMar>
              <w:top w:w="15" w:type="dxa"/>
              <w:left w:w="56" w:type="dxa"/>
              <w:bottom w:w="0" w:type="dxa"/>
              <w:right w:w="56" w:type="dxa"/>
            </w:tcMar>
            <w:vAlign w:val="center"/>
            <w:hideMark/>
          </w:tcPr>
          <w:p w14:paraId="1247A2E8" w14:textId="77777777" w:rsidR="00DB13DA" w:rsidRPr="00312AA3" w:rsidRDefault="00DB13DA" w:rsidP="008E3390">
            <w:pPr>
              <w:pStyle w:val="NormalWeb"/>
              <w:spacing w:before="0" w:beforeAutospacing="0" w:after="0" w:afterAutospacing="0" w:line="276" w:lineRule="auto"/>
              <w:jc w:val="both"/>
              <w:rPr>
                <w:rFonts w:ascii="Arial" w:hAnsi="Arial" w:cs="Arial"/>
              </w:rPr>
            </w:pPr>
            <w:r w:rsidRPr="00312AA3">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6141477D" w14:textId="77777777" w:rsidR="00DB13DA" w:rsidRPr="00312AA3" w:rsidRDefault="00DB13DA" w:rsidP="008E3390">
            <w:pPr>
              <w:pStyle w:val="NormalWeb"/>
              <w:spacing w:before="0" w:beforeAutospacing="0" w:after="0" w:afterAutospacing="0" w:line="276" w:lineRule="auto"/>
              <w:jc w:val="both"/>
              <w:rPr>
                <w:rFonts w:ascii="Arial" w:hAnsi="Arial" w:cs="Arial"/>
              </w:rPr>
            </w:pPr>
            <w:r w:rsidRPr="00312AA3">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206082DE" w14:textId="77777777" w:rsidR="00DB13DA" w:rsidRPr="00312AA3" w:rsidRDefault="00DB13DA" w:rsidP="008E3390">
            <w:pPr>
              <w:jc w:val="both"/>
              <w:rPr>
                <w:rFonts w:ascii="Arial" w:hAnsi="Arial" w:cs="Arial"/>
                <w:sz w:val="24"/>
                <w:szCs w:val="24"/>
                <w:lang w:val="es-ES_tradnl"/>
              </w:rPr>
            </w:pPr>
            <w:r w:rsidRPr="00312AA3">
              <w:rPr>
                <w:rFonts w:ascii="Arial" w:hAnsi="Arial" w:cs="Arial"/>
                <w:sz w:val="24"/>
                <w:szCs w:val="24"/>
                <w:lang w:val="es-ES_tradnl"/>
              </w:rPr>
              <w:t xml:space="preserve">Documentos que soportan las decisiones tomadas por el Comité de Mesa Técnica de alianzas y convenios en cuanto a </w:t>
            </w:r>
            <w:r w:rsidRPr="00312AA3">
              <w:rPr>
                <w:rFonts w:ascii="Arial" w:hAnsi="Arial" w:cs="Arial"/>
                <w:color w:val="333333"/>
                <w:sz w:val="24"/>
                <w:szCs w:val="24"/>
                <w:shd w:val="clear" w:color="auto" w:fill="FFFFFF"/>
              </w:rPr>
              <w:t> </w:t>
            </w:r>
            <w:r w:rsidRPr="00312AA3">
              <w:rPr>
                <w:rFonts w:ascii="Arial" w:hAnsi="Arial" w:cs="Arial"/>
                <w:sz w:val="24"/>
                <w:szCs w:val="24"/>
                <w:lang w:val="es-ES_tradnl"/>
              </w:rPr>
              <w:t>la viabilidad y pertinencia de los convenios a celebrar, realizando los estudios jurídicos, técnicos y financieros pertinentes.</w:t>
            </w:r>
          </w:p>
        </w:tc>
      </w:tr>
      <w:tr w:rsidR="00DB13DA" w:rsidRPr="00312AA3" w14:paraId="71568EC5" w14:textId="77777777" w:rsidTr="008E3390">
        <w:trPr>
          <w:trHeight w:val="309"/>
          <w:jc w:val="center"/>
        </w:trPr>
        <w:tc>
          <w:tcPr>
            <w:tcW w:w="351" w:type="pct"/>
            <w:shd w:val="clear" w:color="auto" w:fill="auto"/>
            <w:tcMar>
              <w:top w:w="15" w:type="dxa"/>
              <w:left w:w="56" w:type="dxa"/>
              <w:bottom w:w="0" w:type="dxa"/>
              <w:right w:w="56" w:type="dxa"/>
            </w:tcMar>
            <w:vAlign w:val="center"/>
            <w:hideMark/>
          </w:tcPr>
          <w:p w14:paraId="7B62789B"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0BB9DA88"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74014F92" w14:textId="77777777" w:rsidR="00DB13DA" w:rsidRPr="00312AA3" w:rsidRDefault="00DB13DA" w:rsidP="008E3390">
            <w:pPr>
              <w:rPr>
                <w:rFonts w:ascii="Arial" w:hAnsi="Arial" w:cs="Arial"/>
                <w:sz w:val="24"/>
                <w:szCs w:val="24"/>
              </w:rPr>
            </w:pPr>
            <w:r w:rsidRPr="00312AA3">
              <w:rPr>
                <w:rFonts w:ascii="Arial" w:hAnsi="Arial" w:cs="Arial"/>
                <w:sz w:val="24"/>
                <w:szCs w:val="24"/>
              </w:rPr>
              <w:t xml:space="preserve">Citación, Orden del día, actas consejo académico, anexos al acta. </w:t>
            </w:r>
          </w:p>
        </w:tc>
      </w:tr>
      <w:tr w:rsidR="00DB13DA" w:rsidRPr="00312AA3" w14:paraId="0569E7AE" w14:textId="77777777" w:rsidTr="008E3390">
        <w:trPr>
          <w:trHeight w:val="309"/>
          <w:jc w:val="center"/>
        </w:trPr>
        <w:tc>
          <w:tcPr>
            <w:tcW w:w="351" w:type="pct"/>
            <w:shd w:val="clear" w:color="auto" w:fill="auto"/>
            <w:tcMar>
              <w:top w:w="15" w:type="dxa"/>
              <w:left w:w="56" w:type="dxa"/>
              <w:bottom w:w="0" w:type="dxa"/>
              <w:right w:w="56" w:type="dxa"/>
            </w:tcMar>
            <w:vAlign w:val="center"/>
          </w:tcPr>
          <w:p w14:paraId="20B009CA"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t>2.3</w:t>
            </w:r>
          </w:p>
        </w:tc>
        <w:tc>
          <w:tcPr>
            <w:tcW w:w="1039" w:type="pct"/>
            <w:shd w:val="clear" w:color="auto" w:fill="auto"/>
            <w:tcMar>
              <w:top w:w="15" w:type="dxa"/>
              <w:left w:w="56" w:type="dxa"/>
              <w:bottom w:w="0" w:type="dxa"/>
              <w:right w:w="56" w:type="dxa"/>
            </w:tcMar>
            <w:vAlign w:val="center"/>
          </w:tcPr>
          <w:p w14:paraId="1C74455B"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39565AA" w14:textId="1780091E" w:rsidR="00DB13DA" w:rsidRPr="00312AA3" w:rsidRDefault="00DB13DA" w:rsidP="008E3390">
            <w:pPr>
              <w:rPr>
                <w:rFonts w:ascii="Arial" w:hAnsi="Arial" w:cs="Arial"/>
                <w:sz w:val="24"/>
                <w:szCs w:val="24"/>
              </w:rPr>
            </w:pPr>
            <w:r w:rsidRPr="00312AA3">
              <w:rPr>
                <w:rFonts w:ascii="Arial" w:eastAsia="Arial" w:hAnsi="Arial" w:cs="Arial"/>
                <w:sz w:val="24"/>
                <w:szCs w:val="24"/>
              </w:rPr>
              <w:t>Papel-PDF</w:t>
            </w:r>
          </w:p>
        </w:tc>
      </w:tr>
      <w:tr w:rsidR="00DB13DA" w:rsidRPr="00312AA3" w14:paraId="6CD6E22D" w14:textId="77777777" w:rsidTr="008E3390">
        <w:trPr>
          <w:trHeight w:val="309"/>
          <w:jc w:val="center"/>
        </w:trPr>
        <w:tc>
          <w:tcPr>
            <w:tcW w:w="351" w:type="pct"/>
            <w:shd w:val="clear" w:color="auto" w:fill="auto"/>
            <w:tcMar>
              <w:top w:w="15" w:type="dxa"/>
              <w:left w:w="56" w:type="dxa"/>
              <w:bottom w:w="0" w:type="dxa"/>
              <w:right w:w="56" w:type="dxa"/>
            </w:tcMar>
            <w:vAlign w:val="center"/>
          </w:tcPr>
          <w:p w14:paraId="4AE9A52C"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t>2.4</w:t>
            </w:r>
          </w:p>
        </w:tc>
        <w:tc>
          <w:tcPr>
            <w:tcW w:w="1039" w:type="pct"/>
            <w:shd w:val="clear" w:color="auto" w:fill="auto"/>
            <w:tcMar>
              <w:top w:w="15" w:type="dxa"/>
              <w:left w:w="56" w:type="dxa"/>
              <w:bottom w:w="0" w:type="dxa"/>
              <w:right w:w="56" w:type="dxa"/>
            </w:tcMar>
            <w:vAlign w:val="center"/>
          </w:tcPr>
          <w:p w14:paraId="00727436"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41E0EC52" w14:textId="5F547CDA" w:rsidR="00DB13DA" w:rsidRPr="00312AA3" w:rsidRDefault="00DB13DA" w:rsidP="008E3390">
            <w:pPr>
              <w:jc w:val="both"/>
              <w:rPr>
                <w:rFonts w:ascii="Arial" w:hAnsi="Arial" w:cs="Arial"/>
                <w:sz w:val="24"/>
                <w:szCs w:val="24"/>
              </w:rPr>
            </w:pPr>
            <w:r w:rsidRPr="00312AA3">
              <w:rPr>
                <w:rFonts w:ascii="Arial" w:eastAsia="Arial" w:hAnsi="Arial" w:cs="Arial"/>
                <w:sz w:val="24"/>
                <w:szCs w:val="24"/>
              </w:rPr>
              <w:t xml:space="preserve">Papel industrial tipo bond de 75g/m2. Según el Acuerdo 006 de 2014 sobre “Conservación de Documentos” que establece que </w:t>
            </w:r>
            <w:r w:rsidR="00E70ABF" w:rsidRPr="00312AA3">
              <w:rPr>
                <w:rFonts w:ascii="Arial" w:eastAsia="Arial" w:hAnsi="Arial" w:cs="Arial"/>
                <w:sz w:val="24"/>
                <w:szCs w:val="24"/>
              </w:rPr>
              <w:t>los documentos desde su producción deben</w:t>
            </w:r>
            <w:r w:rsidRPr="00312AA3">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DB13DA" w:rsidRPr="00312AA3" w14:paraId="7FF54688" w14:textId="77777777" w:rsidTr="008E3390">
        <w:trPr>
          <w:trHeight w:val="258"/>
          <w:jc w:val="center"/>
        </w:trPr>
        <w:tc>
          <w:tcPr>
            <w:tcW w:w="351" w:type="pct"/>
            <w:vMerge w:val="restart"/>
            <w:shd w:val="clear" w:color="auto" w:fill="auto"/>
            <w:tcMar>
              <w:top w:w="15" w:type="dxa"/>
              <w:left w:w="56" w:type="dxa"/>
              <w:bottom w:w="0" w:type="dxa"/>
              <w:right w:w="56" w:type="dxa"/>
            </w:tcMar>
            <w:vAlign w:val="center"/>
          </w:tcPr>
          <w:p w14:paraId="0AAFBC3B"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12D4DBDC"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0B0331C9"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Administrativo:</w:t>
            </w:r>
          </w:p>
        </w:tc>
        <w:tc>
          <w:tcPr>
            <w:tcW w:w="909" w:type="pct"/>
            <w:shd w:val="clear" w:color="auto" w:fill="auto"/>
            <w:vAlign w:val="center"/>
          </w:tcPr>
          <w:p w14:paraId="14999B9A"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Legal y/o Jurídico:</w:t>
            </w:r>
          </w:p>
        </w:tc>
        <w:tc>
          <w:tcPr>
            <w:tcW w:w="938" w:type="pct"/>
            <w:shd w:val="clear" w:color="auto" w:fill="auto"/>
            <w:vAlign w:val="center"/>
          </w:tcPr>
          <w:p w14:paraId="63F32388"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Contable:</w:t>
            </w:r>
          </w:p>
        </w:tc>
        <w:tc>
          <w:tcPr>
            <w:tcW w:w="853" w:type="pct"/>
            <w:shd w:val="clear" w:color="auto" w:fill="auto"/>
            <w:vAlign w:val="center"/>
          </w:tcPr>
          <w:p w14:paraId="01A70847"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Fiscal:</w:t>
            </w:r>
          </w:p>
        </w:tc>
      </w:tr>
      <w:tr w:rsidR="00DB13DA" w:rsidRPr="00312AA3" w14:paraId="0490887A" w14:textId="77777777" w:rsidTr="008E3390">
        <w:trPr>
          <w:trHeight w:val="258"/>
          <w:jc w:val="center"/>
        </w:trPr>
        <w:tc>
          <w:tcPr>
            <w:tcW w:w="351" w:type="pct"/>
            <w:vMerge/>
            <w:shd w:val="clear" w:color="auto" w:fill="auto"/>
            <w:tcMar>
              <w:top w:w="15" w:type="dxa"/>
              <w:left w:w="56" w:type="dxa"/>
              <w:bottom w:w="0" w:type="dxa"/>
              <w:right w:w="56" w:type="dxa"/>
            </w:tcMar>
            <w:vAlign w:val="center"/>
          </w:tcPr>
          <w:p w14:paraId="7F9FDF31" w14:textId="77777777" w:rsidR="00DB13DA" w:rsidRPr="00312AA3" w:rsidRDefault="00DB13DA" w:rsidP="008E3390">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3342560F"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12EC4FA6" w14:textId="7EFBB287" w:rsidR="00DB13DA" w:rsidRPr="00836094" w:rsidRDefault="00DB13DA" w:rsidP="008E3390">
            <w:pPr>
              <w:rPr>
                <w:rFonts w:ascii="Arial" w:hAnsi="Arial" w:cs="Arial"/>
                <w:sz w:val="24"/>
                <w:szCs w:val="24"/>
              </w:rPr>
            </w:pPr>
            <w:r w:rsidRPr="00E70ABF">
              <w:rPr>
                <w:rFonts w:ascii="Arial" w:hAnsi="Arial" w:cs="Arial"/>
                <w:sz w:val="24"/>
                <w:szCs w:val="24"/>
              </w:rPr>
              <w:t xml:space="preserve">La subserie Actas de la Mesa Técnica de Alianzas y Convenios a tuvo valor administrativo ya </w:t>
            </w:r>
            <w:r w:rsidR="00836094" w:rsidRPr="00E70ABF">
              <w:rPr>
                <w:rFonts w:ascii="Arial" w:hAnsi="Arial" w:cs="Arial"/>
                <w:sz w:val="24"/>
                <w:szCs w:val="24"/>
              </w:rPr>
              <w:t xml:space="preserve">que dan a conocer el direccionamiento y afincamiento de la política de internacionalización </w:t>
            </w:r>
            <w:r w:rsidR="00836094" w:rsidRPr="00E70ABF">
              <w:rPr>
                <w:rFonts w:ascii="Arial" w:hAnsi="Arial" w:cs="Arial"/>
                <w:sz w:val="24"/>
                <w:szCs w:val="24"/>
              </w:rPr>
              <w:lastRenderedPageBreak/>
              <w:t>de la Universidad a través de las áreas estratégicas que componen el sistema UNAD global.</w:t>
            </w:r>
            <w:r w:rsidR="00836094" w:rsidRPr="00836094">
              <w:rPr>
                <w:rFonts w:ascii="Arial" w:hAnsi="Arial" w:cs="Arial"/>
                <w:sz w:val="24"/>
                <w:szCs w:val="24"/>
              </w:rPr>
              <w:t xml:space="preserve"> </w:t>
            </w:r>
          </w:p>
        </w:tc>
        <w:tc>
          <w:tcPr>
            <w:tcW w:w="909" w:type="pct"/>
            <w:shd w:val="clear" w:color="auto" w:fill="auto"/>
            <w:vAlign w:val="center"/>
          </w:tcPr>
          <w:p w14:paraId="0EB850C0" w14:textId="59A5CC58" w:rsidR="00DB13DA" w:rsidRPr="00312AA3" w:rsidRDefault="00DB13DA" w:rsidP="00836094">
            <w:pPr>
              <w:rPr>
                <w:rFonts w:ascii="Arial" w:hAnsi="Arial" w:cs="Arial"/>
                <w:sz w:val="24"/>
                <w:szCs w:val="24"/>
              </w:rPr>
            </w:pPr>
            <w:r w:rsidRPr="00E70ABF">
              <w:rPr>
                <w:rFonts w:ascii="Arial" w:hAnsi="Arial" w:cs="Arial"/>
                <w:sz w:val="24"/>
                <w:szCs w:val="24"/>
              </w:rPr>
              <w:lastRenderedPageBreak/>
              <w:t>La subserie Actas de la Mesa Técnica de Alianzas y Convenios tuvo val</w:t>
            </w:r>
            <w:r w:rsidR="00AD53C7" w:rsidRPr="00E70ABF">
              <w:rPr>
                <w:rFonts w:ascii="Arial" w:hAnsi="Arial" w:cs="Arial"/>
                <w:sz w:val="24"/>
                <w:szCs w:val="24"/>
              </w:rPr>
              <w:t>or legal ya que permiten</w:t>
            </w:r>
            <w:r w:rsidR="00417C2A" w:rsidRPr="00E70ABF">
              <w:rPr>
                <w:rFonts w:ascii="Arial" w:hAnsi="Arial" w:cs="Arial"/>
                <w:sz w:val="24"/>
                <w:szCs w:val="24"/>
              </w:rPr>
              <w:t xml:space="preserve"> conocer el procedimiento usado por la Universidad Nacional Abierta </w:t>
            </w:r>
            <w:r w:rsidR="00417C2A" w:rsidRPr="00E70ABF">
              <w:rPr>
                <w:rFonts w:ascii="Arial" w:hAnsi="Arial" w:cs="Arial"/>
                <w:sz w:val="24"/>
                <w:szCs w:val="24"/>
              </w:rPr>
              <w:lastRenderedPageBreak/>
              <w:t xml:space="preserve">y a distancia en temas de reconocimiento y certificación ante los organismos internacionales </w:t>
            </w:r>
            <w:r w:rsidR="00AD53C7" w:rsidRPr="00E70ABF">
              <w:rPr>
                <w:rFonts w:ascii="Arial" w:hAnsi="Arial" w:cs="Arial"/>
                <w:sz w:val="24"/>
                <w:szCs w:val="24"/>
              </w:rPr>
              <w:t>y marcos de competencia internacional coherente con cada disciplina formativa.</w:t>
            </w:r>
            <w:r w:rsidRPr="00E70ABF">
              <w:rPr>
                <w:rFonts w:ascii="Arial" w:hAnsi="Arial" w:cs="Arial"/>
                <w:sz w:val="24"/>
                <w:szCs w:val="24"/>
              </w:rPr>
              <w:t xml:space="preserve"> </w:t>
            </w:r>
          </w:p>
        </w:tc>
        <w:tc>
          <w:tcPr>
            <w:tcW w:w="938" w:type="pct"/>
            <w:shd w:val="clear" w:color="auto" w:fill="auto"/>
            <w:vAlign w:val="center"/>
          </w:tcPr>
          <w:p w14:paraId="4FFE8721" w14:textId="77777777" w:rsidR="00DB13DA" w:rsidRPr="00312AA3" w:rsidRDefault="00DB13DA" w:rsidP="008E3390">
            <w:pPr>
              <w:rPr>
                <w:rFonts w:ascii="Arial" w:hAnsi="Arial" w:cs="Arial"/>
                <w:sz w:val="24"/>
                <w:szCs w:val="24"/>
              </w:rPr>
            </w:pPr>
            <w:r w:rsidRPr="00312AA3">
              <w:rPr>
                <w:rFonts w:ascii="Arial" w:hAnsi="Arial" w:cs="Arial"/>
                <w:sz w:val="24"/>
                <w:szCs w:val="24"/>
              </w:rPr>
              <w:lastRenderedPageBreak/>
              <w:t xml:space="preserve">La subserie Actas de la Mesa Técnica de Alianzas y Convenios no tuvo valor contable ya que la información que contienen los documentos que la componen no </w:t>
            </w:r>
            <w:r w:rsidRPr="00312AA3">
              <w:rPr>
                <w:rFonts w:ascii="Arial" w:hAnsi="Arial" w:cs="Arial"/>
                <w:sz w:val="24"/>
                <w:szCs w:val="24"/>
              </w:rPr>
              <w:lastRenderedPageBreak/>
              <w:t>refleja movimientos económicos y/o financieros de la entida</w:t>
            </w:r>
            <w:bookmarkStart w:id="0" w:name="_GoBack"/>
            <w:bookmarkEnd w:id="0"/>
            <w:r w:rsidRPr="00312AA3">
              <w:rPr>
                <w:rFonts w:ascii="Arial" w:hAnsi="Arial" w:cs="Arial"/>
                <w:sz w:val="24"/>
                <w:szCs w:val="24"/>
              </w:rPr>
              <w:t xml:space="preserve">d.   </w:t>
            </w:r>
          </w:p>
        </w:tc>
        <w:tc>
          <w:tcPr>
            <w:tcW w:w="853" w:type="pct"/>
            <w:shd w:val="clear" w:color="auto" w:fill="auto"/>
            <w:vAlign w:val="center"/>
          </w:tcPr>
          <w:p w14:paraId="7292CB5C" w14:textId="77777777" w:rsidR="00DB13DA" w:rsidRPr="00312AA3" w:rsidRDefault="00DB13DA" w:rsidP="008E3390">
            <w:pPr>
              <w:rPr>
                <w:rFonts w:ascii="Arial" w:hAnsi="Arial" w:cs="Arial"/>
                <w:sz w:val="24"/>
                <w:szCs w:val="24"/>
              </w:rPr>
            </w:pPr>
            <w:r w:rsidRPr="00312AA3">
              <w:rPr>
                <w:rFonts w:ascii="Arial" w:hAnsi="Arial" w:cs="Arial"/>
                <w:sz w:val="24"/>
                <w:szCs w:val="24"/>
              </w:rPr>
              <w:lastRenderedPageBreak/>
              <w:t xml:space="preserve">La subserie Actas de la Mesa Técnica de Alianzas y Convenios no tuvo valor fiscal por cuanto no registra documentos decisorios que comprometan el </w:t>
            </w:r>
            <w:r w:rsidRPr="00312AA3">
              <w:rPr>
                <w:rFonts w:ascii="Arial" w:hAnsi="Arial" w:cs="Arial"/>
                <w:sz w:val="24"/>
                <w:szCs w:val="24"/>
              </w:rPr>
              <w:lastRenderedPageBreak/>
              <w:t>manejo presupuestal, de bienes o recursos públicos.</w:t>
            </w:r>
          </w:p>
        </w:tc>
      </w:tr>
      <w:tr w:rsidR="00DB13DA" w:rsidRPr="00312AA3" w14:paraId="5B56DAC9" w14:textId="77777777" w:rsidTr="008E3390">
        <w:trPr>
          <w:trHeight w:val="258"/>
          <w:jc w:val="center"/>
        </w:trPr>
        <w:tc>
          <w:tcPr>
            <w:tcW w:w="351" w:type="pct"/>
            <w:shd w:val="clear" w:color="auto" w:fill="auto"/>
            <w:tcMar>
              <w:top w:w="15" w:type="dxa"/>
              <w:left w:w="56" w:type="dxa"/>
              <w:bottom w:w="0" w:type="dxa"/>
              <w:right w:w="56" w:type="dxa"/>
            </w:tcMar>
            <w:vAlign w:val="center"/>
          </w:tcPr>
          <w:p w14:paraId="37D07422"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5303FE96"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5609F42C" w14:textId="2439BAEA" w:rsidR="00BF583C" w:rsidRDefault="00BF583C" w:rsidP="008E3390">
            <w:pPr>
              <w:jc w:val="both"/>
              <w:rPr>
                <w:rFonts w:ascii="Arial" w:eastAsia="Arial" w:hAnsi="Arial" w:cs="Arial"/>
                <w:sz w:val="24"/>
                <w:szCs w:val="24"/>
              </w:rPr>
            </w:pPr>
            <w:r w:rsidRPr="00BF583C">
              <w:rPr>
                <w:rFonts w:ascii="Arial" w:eastAsia="Arial" w:hAnsi="Arial" w:cs="Arial"/>
                <w:b/>
                <w:sz w:val="24"/>
                <w:szCs w:val="24"/>
              </w:rPr>
              <w:t>NTC 4436, 22 de julio de 1998</w:t>
            </w:r>
            <w:r w:rsidRPr="00312AA3">
              <w:rPr>
                <w:rFonts w:ascii="Arial" w:eastAsia="Arial" w:hAnsi="Arial" w:cs="Arial"/>
                <w:sz w:val="24"/>
                <w:szCs w:val="24"/>
              </w:rPr>
              <w:t>. "Información y documentación. Papel para documentos de Archivo. Requisitos para la permanencia y durabilidad”.</w:t>
            </w:r>
          </w:p>
          <w:p w14:paraId="5B4AB035" w14:textId="667C9FC3" w:rsidR="00DB13DA" w:rsidRPr="00312AA3" w:rsidRDefault="00DB13DA" w:rsidP="008E3390">
            <w:pPr>
              <w:jc w:val="both"/>
              <w:rPr>
                <w:rFonts w:ascii="Arial" w:hAnsi="Arial" w:cs="Arial"/>
                <w:sz w:val="24"/>
                <w:szCs w:val="24"/>
              </w:rPr>
            </w:pPr>
            <w:r w:rsidRPr="00BF583C">
              <w:rPr>
                <w:rFonts w:ascii="Arial" w:hAnsi="Arial" w:cs="Arial"/>
                <w:b/>
                <w:sz w:val="24"/>
                <w:szCs w:val="24"/>
              </w:rPr>
              <w:t>Acuerdo 039 del 3 de diciembre de 2019</w:t>
            </w:r>
            <w:r w:rsidRPr="00312AA3">
              <w:rPr>
                <w:rFonts w:ascii="Arial" w:hAnsi="Arial" w:cs="Arial"/>
                <w:sz w:val="24"/>
                <w:szCs w:val="24"/>
              </w:rPr>
              <w:t>. “Por el cual se modifica el Estatuto Organizacional de la Universidad Nacional Abierta y a Distancia (UNAD). Artículo 36. Funciones de la Vicerrectoría de Relaciones Inter sistémicas e Internacionales. Literal  S) Actuar como Secretaría Técnica de la Mesa Técnica de Alianzas y Convenios de la Organización, y participar en los demás comités y dispositivos institucionales que definan su membresía y a los que fuere convocado como invitado".</w:t>
            </w:r>
          </w:p>
        </w:tc>
      </w:tr>
    </w:tbl>
    <w:p w14:paraId="2E1442B0" w14:textId="77777777" w:rsidR="00DB13DA" w:rsidRPr="00312AA3" w:rsidRDefault="00DB13DA" w:rsidP="00DB13DA">
      <w:pPr>
        <w:pStyle w:val="NormalWeb"/>
        <w:spacing w:before="0" w:beforeAutospacing="0" w:after="0" w:afterAutospacing="0" w:line="276" w:lineRule="auto"/>
        <w:rPr>
          <w:rFonts w:ascii="Arial" w:hAnsi="Arial" w:cs="Arial"/>
          <w:b/>
          <w:bCs/>
        </w:rPr>
      </w:pPr>
    </w:p>
    <w:p w14:paraId="5A4F2278" w14:textId="77777777" w:rsidR="00DB13DA" w:rsidRPr="00312AA3" w:rsidRDefault="00DB13DA" w:rsidP="00DB13DA">
      <w:pPr>
        <w:pStyle w:val="NormalWeb"/>
        <w:spacing w:before="0" w:beforeAutospacing="0" w:after="0" w:afterAutospacing="0" w:line="276" w:lineRule="auto"/>
        <w:rPr>
          <w:rFonts w:ascii="Arial" w:hAnsi="Arial" w:cs="Arial"/>
          <w:b/>
          <w:bCs/>
        </w:rPr>
      </w:pPr>
    </w:p>
    <w:p w14:paraId="28EA28D7"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r w:rsidRPr="00312AA3">
        <w:rPr>
          <w:rFonts w:ascii="Arial" w:hAnsi="Arial" w:cs="Arial"/>
          <w:b/>
          <w:bCs/>
        </w:rPr>
        <w:t xml:space="preserve">3. </w:t>
      </w:r>
      <w:r w:rsidRPr="00312AA3">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DB13DA" w:rsidRPr="00312AA3" w14:paraId="3C7C98B5" w14:textId="77777777" w:rsidTr="008E3390">
        <w:trPr>
          <w:trHeight w:val="309"/>
          <w:jc w:val="center"/>
        </w:trPr>
        <w:tc>
          <w:tcPr>
            <w:tcW w:w="326" w:type="pct"/>
            <w:vMerge w:val="restart"/>
            <w:shd w:val="clear" w:color="auto" w:fill="auto"/>
            <w:tcMar>
              <w:top w:w="15" w:type="dxa"/>
              <w:left w:w="56" w:type="dxa"/>
              <w:bottom w:w="0" w:type="dxa"/>
              <w:right w:w="56" w:type="dxa"/>
            </w:tcMar>
            <w:vAlign w:val="center"/>
            <w:hideMark/>
          </w:tcPr>
          <w:p w14:paraId="3A2D9261"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015557A7"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2104EED"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Archivo de Gestión</w:t>
            </w:r>
          </w:p>
        </w:tc>
        <w:tc>
          <w:tcPr>
            <w:tcW w:w="1145" w:type="pct"/>
            <w:gridSpan w:val="4"/>
            <w:shd w:val="clear" w:color="auto" w:fill="auto"/>
            <w:vAlign w:val="center"/>
          </w:tcPr>
          <w:p w14:paraId="06B0A8DA"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Archivo Central</w:t>
            </w:r>
          </w:p>
        </w:tc>
        <w:tc>
          <w:tcPr>
            <w:tcW w:w="1130" w:type="pct"/>
            <w:gridSpan w:val="3"/>
            <w:shd w:val="clear" w:color="auto" w:fill="auto"/>
            <w:vAlign w:val="center"/>
          </w:tcPr>
          <w:p w14:paraId="424A6E77"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Tiempo total</w:t>
            </w:r>
          </w:p>
        </w:tc>
      </w:tr>
      <w:tr w:rsidR="00DB13DA" w:rsidRPr="00312AA3" w14:paraId="2017ED85" w14:textId="77777777" w:rsidTr="008E3390">
        <w:trPr>
          <w:trHeight w:val="309"/>
          <w:jc w:val="center"/>
        </w:trPr>
        <w:tc>
          <w:tcPr>
            <w:tcW w:w="326" w:type="pct"/>
            <w:vMerge/>
            <w:shd w:val="clear" w:color="auto" w:fill="auto"/>
            <w:tcMar>
              <w:top w:w="15" w:type="dxa"/>
              <w:left w:w="56" w:type="dxa"/>
              <w:bottom w:w="0" w:type="dxa"/>
              <w:right w:w="56" w:type="dxa"/>
            </w:tcMar>
            <w:vAlign w:val="center"/>
          </w:tcPr>
          <w:p w14:paraId="12FB2A8E"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489C320C"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2B38D37F" w14:textId="77777777" w:rsidR="00DB13DA" w:rsidRPr="00312AA3" w:rsidRDefault="00DB13DA" w:rsidP="008E3390">
            <w:pPr>
              <w:jc w:val="center"/>
              <w:rPr>
                <w:rFonts w:ascii="Arial" w:hAnsi="Arial" w:cs="Arial"/>
                <w:sz w:val="24"/>
                <w:szCs w:val="24"/>
              </w:rPr>
            </w:pPr>
            <w:r w:rsidRPr="00312AA3">
              <w:rPr>
                <w:rFonts w:ascii="Arial" w:hAnsi="Arial" w:cs="Arial"/>
                <w:sz w:val="24"/>
                <w:szCs w:val="24"/>
              </w:rPr>
              <w:t>3</w:t>
            </w:r>
          </w:p>
        </w:tc>
        <w:tc>
          <w:tcPr>
            <w:tcW w:w="1145" w:type="pct"/>
            <w:gridSpan w:val="4"/>
            <w:shd w:val="clear" w:color="auto" w:fill="auto"/>
            <w:vAlign w:val="center"/>
          </w:tcPr>
          <w:p w14:paraId="3E168082" w14:textId="77777777" w:rsidR="00DB13DA" w:rsidRPr="00312AA3" w:rsidRDefault="00DB13DA" w:rsidP="008E3390">
            <w:pPr>
              <w:jc w:val="center"/>
              <w:rPr>
                <w:rFonts w:ascii="Arial" w:hAnsi="Arial" w:cs="Arial"/>
                <w:sz w:val="24"/>
                <w:szCs w:val="24"/>
              </w:rPr>
            </w:pPr>
            <w:r w:rsidRPr="00312AA3">
              <w:rPr>
                <w:rFonts w:ascii="Arial" w:hAnsi="Arial" w:cs="Arial"/>
                <w:sz w:val="24"/>
                <w:szCs w:val="24"/>
              </w:rPr>
              <w:t>17</w:t>
            </w:r>
          </w:p>
        </w:tc>
        <w:tc>
          <w:tcPr>
            <w:tcW w:w="1130" w:type="pct"/>
            <w:gridSpan w:val="3"/>
            <w:shd w:val="clear" w:color="auto" w:fill="auto"/>
            <w:vAlign w:val="center"/>
          </w:tcPr>
          <w:p w14:paraId="004CDF1C" w14:textId="77777777" w:rsidR="00DB13DA" w:rsidRPr="00312AA3" w:rsidRDefault="00DB13DA" w:rsidP="008E3390">
            <w:pPr>
              <w:jc w:val="center"/>
              <w:rPr>
                <w:rFonts w:ascii="Arial" w:hAnsi="Arial" w:cs="Arial"/>
                <w:sz w:val="24"/>
                <w:szCs w:val="24"/>
              </w:rPr>
            </w:pPr>
            <w:r w:rsidRPr="00312AA3">
              <w:rPr>
                <w:rFonts w:ascii="Arial" w:hAnsi="Arial" w:cs="Arial"/>
                <w:sz w:val="24"/>
                <w:szCs w:val="24"/>
              </w:rPr>
              <w:t>20</w:t>
            </w:r>
          </w:p>
        </w:tc>
      </w:tr>
      <w:tr w:rsidR="00DB13DA" w:rsidRPr="00312AA3" w14:paraId="171086DB" w14:textId="77777777" w:rsidTr="008E3390">
        <w:trPr>
          <w:trHeight w:val="309"/>
          <w:jc w:val="center"/>
        </w:trPr>
        <w:tc>
          <w:tcPr>
            <w:tcW w:w="326" w:type="pct"/>
            <w:shd w:val="clear" w:color="auto" w:fill="auto"/>
            <w:tcMar>
              <w:top w:w="15" w:type="dxa"/>
              <w:left w:w="56" w:type="dxa"/>
              <w:bottom w:w="0" w:type="dxa"/>
              <w:right w:w="56" w:type="dxa"/>
            </w:tcMar>
            <w:vAlign w:val="center"/>
            <w:hideMark/>
          </w:tcPr>
          <w:p w14:paraId="50FFD192"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0117B67E"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05C0BB32"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Conservación Total</w:t>
            </w:r>
          </w:p>
        </w:tc>
        <w:tc>
          <w:tcPr>
            <w:tcW w:w="426" w:type="pct"/>
            <w:shd w:val="clear" w:color="auto" w:fill="auto"/>
            <w:vAlign w:val="center"/>
          </w:tcPr>
          <w:p w14:paraId="4DDA2237" w14:textId="77777777" w:rsidR="00DB13DA" w:rsidRPr="00312AA3" w:rsidRDefault="00DB13DA" w:rsidP="008E3390">
            <w:pPr>
              <w:jc w:val="center"/>
              <w:rPr>
                <w:rFonts w:ascii="Arial" w:hAnsi="Arial" w:cs="Arial"/>
                <w:sz w:val="24"/>
                <w:szCs w:val="24"/>
              </w:rPr>
            </w:pPr>
            <w:r w:rsidRPr="00312AA3">
              <w:rPr>
                <w:rFonts w:ascii="Arial" w:hAnsi="Arial" w:cs="Arial"/>
                <w:sz w:val="24"/>
                <w:szCs w:val="24"/>
              </w:rPr>
              <w:t>X</w:t>
            </w:r>
          </w:p>
        </w:tc>
        <w:tc>
          <w:tcPr>
            <w:tcW w:w="501" w:type="pct"/>
            <w:gridSpan w:val="2"/>
            <w:shd w:val="clear" w:color="auto" w:fill="auto"/>
            <w:vAlign w:val="center"/>
          </w:tcPr>
          <w:p w14:paraId="445F6E08"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Eliminación</w:t>
            </w:r>
          </w:p>
        </w:tc>
        <w:tc>
          <w:tcPr>
            <w:tcW w:w="426" w:type="pct"/>
            <w:shd w:val="clear" w:color="auto" w:fill="auto"/>
            <w:vAlign w:val="center"/>
          </w:tcPr>
          <w:p w14:paraId="1C0CFF87" w14:textId="77777777" w:rsidR="00DB13DA" w:rsidRPr="00312AA3" w:rsidRDefault="00DB13DA" w:rsidP="008E3390">
            <w:pPr>
              <w:jc w:val="center"/>
              <w:rPr>
                <w:rFonts w:ascii="Arial" w:hAnsi="Arial" w:cs="Arial"/>
                <w:sz w:val="24"/>
                <w:szCs w:val="24"/>
              </w:rPr>
            </w:pPr>
          </w:p>
        </w:tc>
        <w:tc>
          <w:tcPr>
            <w:tcW w:w="426" w:type="pct"/>
            <w:shd w:val="clear" w:color="auto" w:fill="auto"/>
            <w:vAlign w:val="center"/>
          </w:tcPr>
          <w:p w14:paraId="39B3909F" w14:textId="77777777" w:rsidR="00DB13DA" w:rsidRPr="00312AA3" w:rsidRDefault="00DB13DA" w:rsidP="008E3390">
            <w:pPr>
              <w:jc w:val="center"/>
              <w:rPr>
                <w:rFonts w:ascii="Arial" w:hAnsi="Arial" w:cs="Arial"/>
                <w:b/>
                <w:bCs/>
                <w:sz w:val="24"/>
                <w:szCs w:val="24"/>
              </w:rPr>
            </w:pPr>
            <w:r w:rsidRPr="00312AA3">
              <w:rPr>
                <w:rFonts w:ascii="Arial" w:hAnsi="Arial" w:cs="Arial"/>
                <w:b/>
                <w:bCs/>
                <w:sz w:val="24"/>
                <w:szCs w:val="24"/>
              </w:rPr>
              <w:t>Selección</w:t>
            </w:r>
          </w:p>
        </w:tc>
        <w:tc>
          <w:tcPr>
            <w:tcW w:w="402" w:type="pct"/>
            <w:gridSpan w:val="2"/>
            <w:shd w:val="clear" w:color="auto" w:fill="auto"/>
            <w:vAlign w:val="center"/>
          </w:tcPr>
          <w:p w14:paraId="38BFEE8A" w14:textId="77777777" w:rsidR="00DB13DA" w:rsidRPr="00312AA3" w:rsidRDefault="00DB13DA" w:rsidP="008E3390">
            <w:pPr>
              <w:jc w:val="center"/>
              <w:rPr>
                <w:rFonts w:ascii="Arial" w:hAnsi="Arial" w:cs="Arial"/>
                <w:sz w:val="24"/>
                <w:szCs w:val="24"/>
              </w:rPr>
            </w:pPr>
          </w:p>
        </w:tc>
        <w:tc>
          <w:tcPr>
            <w:tcW w:w="426" w:type="pct"/>
            <w:shd w:val="clear" w:color="auto" w:fill="auto"/>
            <w:vAlign w:val="center"/>
          </w:tcPr>
          <w:p w14:paraId="362F089D" w14:textId="77777777" w:rsidR="00DB13DA" w:rsidRPr="00312AA3" w:rsidRDefault="00DB13DA" w:rsidP="008E3390">
            <w:pPr>
              <w:jc w:val="center"/>
              <w:rPr>
                <w:rFonts w:ascii="Arial" w:hAnsi="Arial" w:cs="Arial"/>
                <w:sz w:val="24"/>
                <w:szCs w:val="24"/>
              </w:rPr>
            </w:pPr>
            <w:r w:rsidRPr="00312AA3">
              <w:rPr>
                <w:rFonts w:ascii="Arial" w:hAnsi="Arial" w:cs="Arial"/>
                <w:b/>
                <w:bCs/>
                <w:sz w:val="24"/>
                <w:szCs w:val="24"/>
              </w:rPr>
              <w:t>Digitalización</w:t>
            </w:r>
          </w:p>
        </w:tc>
        <w:tc>
          <w:tcPr>
            <w:tcW w:w="428" w:type="pct"/>
            <w:shd w:val="clear" w:color="auto" w:fill="auto"/>
            <w:vAlign w:val="center"/>
          </w:tcPr>
          <w:p w14:paraId="456A38C4" w14:textId="3806F4BD" w:rsidR="00DB13DA" w:rsidRPr="00312AA3" w:rsidRDefault="00DB13DA" w:rsidP="008E3390">
            <w:pPr>
              <w:jc w:val="center"/>
              <w:rPr>
                <w:rFonts w:ascii="Arial" w:hAnsi="Arial" w:cs="Arial"/>
                <w:sz w:val="24"/>
                <w:szCs w:val="24"/>
              </w:rPr>
            </w:pPr>
            <w:r w:rsidRPr="00312AA3">
              <w:rPr>
                <w:rFonts w:ascii="Arial" w:hAnsi="Arial" w:cs="Arial"/>
                <w:sz w:val="24"/>
                <w:szCs w:val="24"/>
              </w:rPr>
              <w:t>X</w:t>
            </w:r>
          </w:p>
        </w:tc>
      </w:tr>
      <w:tr w:rsidR="00DB13DA" w:rsidRPr="00312AA3" w14:paraId="48A69B5E" w14:textId="77777777" w:rsidTr="008E3390">
        <w:trPr>
          <w:trHeight w:val="309"/>
          <w:jc w:val="center"/>
        </w:trPr>
        <w:tc>
          <w:tcPr>
            <w:tcW w:w="326" w:type="pct"/>
            <w:shd w:val="clear" w:color="auto" w:fill="auto"/>
            <w:tcMar>
              <w:top w:w="15" w:type="dxa"/>
              <w:left w:w="56" w:type="dxa"/>
              <w:bottom w:w="0" w:type="dxa"/>
              <w:right w:w="56" w:type="dxa"/>
            </w:tcMar>
            <w:vAlign w:val="center"/>
          </w:tcPr>
          <w:p w14:paraId="70123641"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05B84C62"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0A570D51" w14:textId="71D0A5A2" w:rsidR="00DB13DA" w:rsidRPr="00312AA3" w:rsidRDefault="00DB13DA" w:rsidP="008E3390">
            <w:pPr>
              <w:jc w:val="both"/>
              <w:rPr>
                <w:rFonts w:ascii="Arial" w:hAnsi="Arial" w:cs="Arial"/>
                <w:sz w:val="24"/>
                <w:szCs w:val="24"/>
              </w:rPr>
            </w:pPr>
            <w:r w:rsidRPr="00312AA3">
              <w:rPr>
                <w:rFonts w:ascii="Arial" w:hAnsi="Arial" w:cs="Arial"/>
                <w:sz w:val="24"/>
                <w:szCs w:val="24"/>
              </w:rPr>
              <w:t>Cumplido el tiempo de retención la documentación se conserva totalmente ya que adquiere valores secundarios que dan testimonio de la misión institucional, con el fin de garantizar su conservación permanente se debe generar una copia de seguridad o respaldo de los documentos de valor histórico utilizando el proceso de Digitalización o microfilmación (ver introducci</w:t>
            </w:r>
            <w:r w:rsidR="0078014A" w:rsidRPr="00312AA3">
              <w:rPr>
                <w:rFonts w:ascii="Arial" w:hAnsi="Arial" w:cs="Arial"/>
                <w:sz w:val="24"/>
                <w:szCs w:val="24"/>
              </w:rPr>
              <w:t xml:space="preserve">ón numeral 5.6 literal a y b). </w:t>
            </w:r>
            <w:r w:rsidRPr="00312AA3">
              <w:rPr>
                <w:rFonts w:ascii="Arial" w:hAnsi="Arial" w:cs="Arial"/>
                <w:sz w:val="24"/>
                <w:szCs w:val="24"/>
              </w:rPr>
              <w:t>En cumplimiento a los lineamientos técnicos de la Ley 594 de 2000, estos documentos se conservarán siempre en su soporte original. Este proceso debe ser realizado por el encargado de la Vicerrectoría de Relaciones Inter sistémicas e Internacionales con acompañamiento del grupo de Gestión Documental y Función Notarial.</w:t>
            </w:r>
          </w:p>
        </w:tc>
      </w:tr>
    </w:tbl>
    <w:p w14:paraId="3AA32ECE"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p>
    <w:p w14:paraId="21475D85"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p>
    <w:p w14:paraId="49DB7223"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DB13DA" w:rsidRPr="00312AA3" w14:paraId="37E8F5C6" w14:textId="77777777" w:rsidTr="008E3390">
        <w:trPr>
          <w:trHeight w:val="309"/>
          <w:jc w:val="center"/>
        </w:trPr>
        <w:tc>
          <w:tcPr>
            <w:tcW w:w="351" w:type="pct"/>
            <w:shd w:val="clear" w:color="auto" w:fill="auto"/>
            <w:tcMar>
              <w:top w:w="15" w:type="dxa"/>
              <w:left w:w="56" w:type="dxa"/>
              <w:bottom w:w="0" w:type="dxa"/>
              <w:right w:w="56" w:type="dxa"/>
            </w:tcMar>
            <w:vAlign w:val="center"/>
          </w:tcPr>
          <w:p w14:paraId="02B672C0"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C5CCE8C"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F6C9D6F" w14:textId="77777777" w:rsidR="00DB13DA" w:rsidRPr="00312AA3" w:rsidRDefault="00DB13DA" w:rsidP="008E3390">
            <w:pPr>
              <w:rPr>
                <w:rFonts w:ascii="Arial" w:hAnsi="Arial" w:cs="Arial"/>
                <w:b/>
                <w:bCs/>
                <w:sz w:val="24"/>
                <w:szCs w:val="24"/>
              </w:rPr>
            </w:pPr>
            <w:r w:rsidRPr="00312AA3">
              <w:rPr>
                <w:rFonts w:ascii="Arial" w:hAnsi="Arial" w:cs="Arial"/>
                <w:b/>
                <w:bCs/>
                <w:sz w:val="24"/>
                <w:szCs w:val="24"/>
              </w:rPr>
              <w:t xml:space="preserve">Si </w:t>
            </w:r>
          </w:p>
        </w:tc>
        <w:tc>
          <w:tcPr>
            <w:tcW w:w="864" w:type="pct"/>
            <w:gridSpan w:val="2"/>
            <w:shd w:val="clear" w:color="auto" w:fill="auto"/>
            <w:vAlign w:val="center"/>
          </w:tcPr>
          <w:p w14:paraId="04E0B499" w14:textId="77777777" w:rsidR="00DB13DA" w:rsidRPr="00312AA3" w:rsidRDefault="00DB13DA" w:rsidP="008E3390">
            <w:pPr>
              <w:rPr>
                <w:rFonts w:ascii="Arial" w:hAnsi="Arial" w:cs="Arial"/>
                <w:sz w:val="24"/>
                <w:szCs w:val="24"/>
              </w:rPr>
            </w:pPr>
            <w:r w:rsidRPr="00312AA3">
              <w:rPr>
                <w:rFonts w:ascii="Arial" w:hAnsi="Arial" w:cs="Arial"/>
                <w:sz w:val="24"/>
                <w:szCs w:val="24"/>
              </w:rPr>
              <w:t>X</w:t>
            </w:r>
          </w:p>
        </w:tc>
        <w:tc>
          <w:tcPr>
            <w:tcW w:w="854" w:type="pct"/>
            <w:gridSpan w:val="2"/>
            <w:shd w:val="clear" w:color="auto" w:fill="auto"/>
            <w:vAlign w:val="center"/>
          </w:tcPr>
          <w:p w14:paraId="3B7CFC11" w14:textId="77777777" w:rsidR="00DB13DA" w:rsidRPr="00312AA3" w:rsidRDefault="00DB13DA" w:rsidP="008E3390">
            <w:pPr>
              <w:rPr>
                <w:rFonts w:ascii="Arial" w:hAnsi="Arial" w:cs="Arial"/>
                <w:b/>
                <w:bCs/>
                <w:sz w:val="24"/>
                <w:szCs w:val="24"/>
              </w:rPr>
            </w:pPr>
            <w:r w:rsidRPr="00312AA3">
              <w:rPr>
                <w:rFonts w:ascii="Arial" w:hAnsi="Arial" w:cs="Arial"/>
                <w:b/>
                <w:bCs/>
                <w:sz w:val="24"/>
                <w:szCs w:val="24"/>
              </w:rPr>
              <w:t xml:space="preserve">No </w:t>
            </w:r>
          </w:p>
        </w:tc>
        <w:tc>
          <w:tcPr>
            <w:tcW w:w="853" w:type="pct"/>
            <w:shd w:val="clear" w:color="auto" w:fill="auto"/>
            <w:vAlign w:val="center"/>
          </w:tcPr>
          <w:p w14:paraId="44DEF1A4" w14:textId="77777777" w:rsidR="00DB13DA" w:rsidRPr="00312AA3" w:rsidRDefault="00DB13DA" w:rsidP="008E3390">
            <w:pPr>
              <w:rPr>
                <w:rFonts w:ascii="Arial" w:hAnsi="Arial" w:cs="Arial"/>
                <w:sz w:val="24"/>
                <w:szCs w:val="24"/>
              </w:rPr>
            </w:pPr>
          </w:p>
        </w:tc>
      </w:tr>
      <w:tr w:rsidR="00DB13DA" w:rsidRPr="00312AA3" w14:paraId="3E8A8AAD" w14:textId="77777777" w:rsidTr="008E3390">
        <w:trPr>
          <w:trHeight w:val="309"/>
          <w:jc w:val="center"/>
        </w:trPr>
        <w:tc>
          <w:tcPr>
            <w:tcW w:w="351" w:type="pct"/>
            <w:shd w:val="clear" w:color="auto" w:fill="auto"/>
            <w:tcMar>
              <w:top w:w="15" w:type="dxa"/>
              <w:left w:w="56" w:type="dxa"/>
              <w:bottom w:w="0" w:type="dxa"/>
              <w:right w:w="56" w:type="dxa"/>
            </w:tcMar>
            <w:vAlign w:val="center"/>
          </w:tcPr>
          <w:p w14:paraId="7F29748F"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746984A9"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0F134B32" w14:textId="77777777" w:rsidR="00DB13DA" w:rsidRPr="00312AA3" w:rsidRDefault="00DB13DA" w:rsidP="008E3390">
            <w:pPr>
              <w:rPr>
                <w:rFonts w:ascii="Arial" w:hAnsi="Arial" w:cs="Arial"/>
                <w:b/>
                <w:bCs/>
                <w:sz w:val="24"/>
                <w:szCs w:val="24"/>
              </w:rPr>
            </w:pPr>
            <w:r w:rsidRPr="00312AA3">
              <w:rPr>
                <w:rFonts w:ascii="Arial" w:hAnsi="Arial" w:cs="Arial"/>
                <w:b/>
                <w:bCs/>
                <w:sz w:val="24"/>
                <w:szCs w:val="24"/>
              </w:rPr>
              <w:t xml:space="preserve">Si </w:t>
            </w:r>
          </w:p>
        </w:tc>
        <w:tc>
          <w:tcPr>
            <w:tcW w:w="324" w:type="pct"/>
            <w:shd w:val="clear" w:color="auto" w:fill="auto"/>
            <w:vAlign w:val="center"/>
          </w:tcPr>
          <w:p w14:paraId="7238841E" w14:textId="77777777" w:rsidR="00DB13DA" w:rsidRPr="00312AA3" w:rsidRDefault="00DB13DA" w:rsidP="008E3390">
            <w:pPr>
              <w:rPr>
                <w:rFonts w:ascii="Arial" w:hAnsi="Arial" w:cs="Arial"/>
                <w:sz w:val="24"/>
                <w:szCs w:val="24"/>
              </w:rPr>
            </w:pPr>
          </w:p>
        </w:tc>
        <w:tc>
          <w:tcPr>
            <w:tcW w:w="325" w:type="pct"/>
            <w:shd w:val="clear" w:color="auto" w:fill="auto"/>
            <w:vAlign w:val="center"/>
          </w:tcPr>
          <w:p w14:paraId="7D31739F" w14:textId="77777777" w:rsidR="00DB13DA" w:rsidRPr="00312AA3" w:rsidRDefault="00DB13DA" w:rsidP="008E3390">
            <w:pPr>
              <w:rPr>
                <w:rFonts w:ascii="Arial" w:hAnsi="Arial" w:cs="Arial"/>
                <w:b/>
                <w:bCs/>
                <w:sz w:val="24"/>
                <w:szCs w:val="24"/>
              </w:rPr>
            </w:pPr>
            <w:r w:rsidRPr="00312AA3">
              <w:rPr>
                <w:rFonts w:ascii="Arial" w:hAnsi="Arial" w:cs="Arial"/>
                <w:b/>
                <w:bCs/>
                <w:sz w:val="24"/>
                <w:szCs w:val="24"/>
              </w:rPr>
              <w:t xml:space="preserve">No </w:t>
            </w:r>
          </w:p>
        </w:tc>
        <w:tc>
          <w:tcPr>
            <w:tcW w:w="390" w:type="pct"/>
            <w:shd w:val="clear" w:color="auto" w:fill="auto"/>
            <w:vAlign w:val="center"/>
          </w:tcPr>
          <w:p w14:paraId="6D2D9D5C" w14:textId="77777777" w:rsidR="00DB13DA" w:rsidRPr="00312AA3" w:rsidRDefault="00DB13DA" w:rsidP="008E3390">
            <w:pPr>
              <w:rPr>
                <w:rFonts w:ascii="Arial" w:hAnsi="Arial" w:cs="Arial"/>
                <w:b/>
                <w:bCs/>
                <w:sz w:val="24"/>
                <w:szCs w:val="24"/>
              </w:rPr>
            </w:pPr>
          </w:p>
        </w:tc>
        <w:tc>
          <w:tcPr>
            <w:tcW w:w="909" w:type="pct"/>
            <w:gridSpan w:val="2"/>
            <w:shd w:val="clear" w:color="auto" w:fill="auto"/>
            <w:vAlign w:val="center"/>
          </w:tcPr>
          <w:p w14:paraId="09FAC358" w14:textId="77777777" w:rsidR="00DB13DA" w:rsidRPr="00312AA3" w:rsidRDefault="00DB13DA" w:rsidP="008E3390">
            <w:pPr>
              <w:rPr>
                <w:rFonts w:ascii="Arial" w:hAnsi="Arial" w:cs="Arial"/>
                <w:sz w:val="24"/>
                <w:szCs w:val="24"/>
              </w:rPr>
            </w:pPr>
            <w:r w:rsidRPr="00312AA3">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7424B040" w14:textId="77777777" w:rsidR="00DB13DA" w:rsidRPr="00312AA3" w:rsidRDefault="00DB13DA" w:rsidP="008E3390">
            <w:pPr>
              <w:rPr>
                <w:rFonts w:ascii="Arial" w:hAnsi="Arial" w:cs="Arial"/>
                <w:sz w:val="24"/>
                <w:szCs w:val="24"/>
              </w:rPr>
            </w:pPr>
          </w:p>
        </w:tc>
      </w:tr>
      <w:tr w:rsidR="00DB13DA" w:rsidRPr="00312AA3" w14:paraId="18095DAD" w14:textId="77777777" w:rsidTr="008E3390">
        <w:trPr>
          <w:trHeight w:val="309"/>
          <w:jc w:val="center"/>
        </w:trPr>
        <w:tc>
          <w:tcPr>
            <w:tcW w:w="351" w:type="pct"/>
            <w:shd w:val="clear" w:color="auto" w:fill="auto"/>
            <w:tcMar>
              <w:top w:w="15" w:type="dxa"/>
              <w:left w:w="56" w:type="dxa"/>
              <w:bottom w:w="0" w:type="dxa"/>
              <w:right w:w="56" w:type="dxa"/>
            </w:tcMar>
            <w:vAlign w:val="center"/>
          </w:tcPr>
          <w:p w14:paraId="63F6D966"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0FFF13FF"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47AECD5E" w14:textId="77777777" w:rsidR="00DB13DA" w:rsidRPr="00312AA3" w:rsidRDefault="00DB13DA" w:rsidP="008E3390">
            <w:pPr>
              <w:rPr>
                <w:rFonts w:ascii="Arial" w:hAnsi="Arial" w:cs="Arial"/>
                <w:sz w:val="24"/>
                <w:szCs w:val="24"/>
              </w:rPr>
            </w:pPr>
          </w:p>
        </w:tc>
      </w:tr>
    </w:tbl>
    <w:p w14:paraId="3A5B771C"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p>
    <w:p w14:paraId="61F54F07"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p>
    <w:p w14:paraId="1AE5A1ED"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r w:rsidRPr="00312AA3">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DB13DA" w:rsidRPr="00312AA3" w14:paraId="775FBDB7" w14:textId="77777777" w:rsidTr="008E3390">
        <w:trPr>
          <w:trHeight w:val="309"/>
          <w:jc w:val="center"/>
        </w:trPr>
        <w:tc>
          <w:tcPr>
            <w:tcW w:w="351" w:type="pct"/>
            <w:shd w:val="clear" w:color="auto" w:fill="auto"/>
            <w:tcMar>
              <w:top w:w="15" w:type="dxa"/>
              <w:left w:w="56" w:type="dxa"/>
              <w:bottom w:w="0" w:type="dxa"/>
              <w:right w:w="56" w:type="dxa"/>
            </w:tcMar>
            <w:vAlign w:val="center"/>
            <w:hideMark/>
          </w:tcPr>
          <w:p w14:paraId="7681C787"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lastRenderedPageBreak/>
              <w:t>4.1</w:t>
            </w:r>
          </w:p>
        </w:tc>
        <w:tc>
          <w:tcPr>
            <w:tcW w:w="1234" w:type="pct"/>
            <w:shd w:val="clear" w:color="auto" w:fill="auto"/>
            <w:tcMar>
              <w:top w:w="15" w:type="dxa"/>
              <w:left w:w="56" w:type="dxa"/>
              <w:bottom w:w="0" w:type="dxa"/>
              <w:right w:w="56" w:type="dxa"/>
            </w:tcMar>
            <w:vAlign w:val="center"/>
            <w:hideMark/>
          </w:tcPr>
          <w:p w14:paraId="6BD07C5A"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383F81B5" w14:textId="77777777" w:rsidR="00DB13DA" w:rsidRPr="00312AA3" w:rsidRDefault="00DB13DA" w:rsidP="008E3390">
            <w:pPr>
              <w:rPr>
                <w:rFonts w:ascii="Arial" w:hAnsi="Arial" w:cs="Arial"/>
                <w:sz w:val="24"/>
                <w:szCs w:val="24"/>
              </w:rPr>
            </w:pPr>
            <w:r w:rsidRPr="00312AA3">
              <w:rPr>
                <w:rFonts w:ascii="Arial" w:hAnsi="Arial" w:cs="Arial"/>
                <w:sz w:val="24"/>
                <w:szCs w:val="24"/>
              </w:rPr>
              <w:t xml:space="preserve">Oscar Mora Calderón </w:t>
            </w:r>
          </w:p>
        </w:tc>
      </w:tr>
      <w:tr w:rsidR="00DB13DA" w:rsidRPr="00312AA3" w14:paraId="47DF2E11" w14:textId="77777777" w:rsidTr="008E3390">
        <w:trPr>
          <w:trHeight w:val="309"/>
          <w:jc w:val="center"/>
        </w:trPr>
        <w:tc>
          <w:tcPr>
            <w:tcW w:w="351" w:type="pct"/>
            <w:shd w:val="clear" w:color="auto" w:fill="auto"/>
            <w:tcMar>
              <w:top w:w="15" w:type="dxa"/>
              <w:left w:w="56" w:type="dxa"/>
              <w:bottom w:w="0" w:type="dxa"/>
              <w:right w:w="56" w:type="dxa"/>
            </w:tcMar>
            <w:vAlign w:val="center"/>
            <w:hideMark/>
          </w:tcPr>
          <w:p w14:paraId="2EFE01D4" w14:textId="77777777" w:rsidR="00DB13DA" w:rsidRPr="00312AA3" w:rsidRDefault="00DB13DA" w:rsidP="008E3390">
            <w:pPr>
              <w:pStyle w:val="NormalWeb"/>
              <w:spacing w:before="0" w:beforeAutospacing="0" w:after="0" w:afterAutospacing="0" w:line="276" w:lineRule="auto"/>
              <w:rPr>
                <w:rFonts w:ascii="Arial" w:hAnsi="Arial" w:cs="Arial"/>
              </w:rPr>
            </w:pPr>
            <w:r w:rsidRPr="00312AA3">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198EEAA" w14:textId="77777777" w:rsidR="00DB13DA" w:rsidRPr="00312AA3" w:rsidRDefault="00DB13DA" w:rsidP="008E3390">
            <w:pPr>
              <w:pStyle w:val="NormalWeb"/>
              <w:spacing w:before="0" w:beforeAutospacing="0" w:after="0" w:afterAutospacing="0" w:line="276" w:lineRule="auto"/>
              <w:rPr>
                <w:rFonts w:ascii="Arial" w:hAnsi="Arial" w:cs="Arial"/>
                <w:b/>
                <w:bCs/>
              </w:rPr>
            </w:pPr>
            <w:r w:rsidRPr="00312AA3">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308E8FE" w14:textId="77777777" w:rsidR="00DB13DA" w:rsidRPr="00312AA3" w:rsidRDefault="00DB13DA" w:rsidP="008E3390">
            <w:pPr>
              <w:rPr>
                <w:rFonts w:ascii="Arial" w:hAnsi="Arial" w:cs="Arial"/>
                <w:sz w:val="24"/>
                <w:szCs w:val="24"/>
              </w:rPr>
            </w:pPr>
            <w:r w:rsidRPr="00312AA3">
              <w:rPr>
                <w:rFonts w:ascii="Arial" w:hAnsi="Arial" w:cs="Arial"/>
                <w:sz w:val="24"/>
                <w:szCs w:val="24"/>
              </w:rPr>
              <w:t>2/12/2020</w:t>
            </w:r>
          </w:p>
        </w:tc>
      </w:tr>
      <w:tr w:rsidR="00DB13DA" w:rsidRPr="00312AA3" w14:paraId="3EE87573" w14:textId="77777777" w:rsidTr="008E3390">
        <w:trPr>
          <w:trHeight w:val="309"/>
          <w:jc w:val="center"/>
        </w:trPr>
        <w:tc>
          <w:tcPr>
            <w:tcW w:w="351" w:type="pct"/>
            <w:shd w:val="clear" w:color="auto" w:fill="auto"/>
            <w:tcMar>
              <w:top w:w="15" w:type="dxa"/>
              <w:left w:w="56" w:type="dxa"/>
              <w:bottom w:w="0" w:type="dxa"/>
              <w:right w:w="56" w:type="dxa"/>
            </w:tcMar>
            <w:vAlign w:val="center"/>
          </w:tcPr>
          <w:p w14:paraId="57F71B31"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DDAF88C" w14:textId="77777777" w:rsidR="00DB13DA" w:rsidRPr="00312AA3" w:rsidRDefault="00DB13DA" w:rsidP="008E3390">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47DF338" w14:textId="77777777" w:rsidR="00DB13DA" w:rsidRPr="00312AA3" w:rsidRDefault="00DB13DA" w:rsidP="008E3390">
            <w:pPr>
              <w:rPr>
                <w:rFonts w:ascii="Arial" w:hAnsi="Arial" w:cs="Arial"/>
                <w:sz w:val="24"/>
                <w:szCs w:val="24"/>
              </w:rPr>
            </w:pPr>
          </w:p>
        </w:tc>
      </w:tr>
    </w:tbl>
    <w:p w14:paraId="76EE88E7" w14:textId="77777777" w:rsidR="00DB13DA" w:rsidRPr="00312AA3" w:rsidRDefault="00DB13DA" w:rsidP="00DB13DA">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312AA3" w:rsidRDefault="008133ED" w:rsidP="00DB13DA">
      <w:pPr>
        <w:rPr>
          <w:rFonts w:ascii="Arial" w:eastAsia="Arial" w:hAnsi="Arial" w:cs="Arial"/>
          <w:sz w:val="24"/>
          <w:szCs w:val="24"/>
        </w:rPr>
      </w:pPr>
    </w:p>
    <w:sectPr w:rsidR="008133ED" w:rsidRPr="00312AA3"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704BF" w14:textId="77777777" w:rsidR="00DA4926" w:rsidRDefault="00DA4926">
      <w:r>
        <w:separator/>
      </w:r>
    </w:p>
  </w:endnote>
  <w:endnote w:type="continuationSeparator" w:id="0">
    <w:p w14:paraId="71847CB4" w14:textId="77777777" w:rsidR="00DA4926" w:rsidRDefault="00DA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9E532" w14:textId="77777777" w:rsidR="00DA4926" w:rsidRDefault="00DA4926">
      <w:r>
        <w:separator/>
      </w:r>
    </w:p>
  </w:footnote>
  <w:footnote w:type="continuationSeparator" w:id="0">
    <w:p w14:paraId="29DD81D7" w14:textId="77777777" w:rsidR="00DA4926" w:rsidRDefault="00DA49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70ABF"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D3EA353"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E70ABF" w:rsidRPr="00E70ABF">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E70ABF" w:rsidRPr="00E70AB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0F6044"/>
    <w:rsid w:val="00107188"/>
    <w:rsid w:val="00113AFD"/>
    <w:rsid w:val="00125D36"/>
    <w:rsid w:val="00127E44"/>
    <w:rsid w:val="00131BB9"/>
    <w:rsid w:val="00134DB7"/>
    <w:rsid w:val="00143EB0"/>
    <w:rsid w:val="00153610"/>
    <w:rsid w:val="00165585"/>
    <w:rsid w:val="00171786"/>
    <w:rsid w:val="00174FAE"/>
    <w:rsid w:val="001B44A3"/>
    <w:rsid w:val="001C34C9"/>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E2DEC"/>
    <w:rsid w:val="002F14DF"/>
    <w:rsid w:val="002F7BBD"/>
    <w:rsid w:val="00312AA3"/>
    <w:rsid w:val="00317481"/>
    <w:rsid w:val="00324742"/>
    <w:rsid w:val="003304EE"/>
    <w:rsid w:val="00341799"/>
    <w:rsid w:val="00343FDE"/>
    <w:rsid w:val="00347BDC"/>
    <w:rsid w:val="00365D16"/>
    <w:rsid w:val="00372EC1"/>
    <w:rsid w:val="00376CEB"/>
    <w:rsid w:val="00381D79"/>
    <w:rsid w:val="003926A0"/>
    <w:rsid w:val="003A0BB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C2A"/>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451C7"/>
    <w:rsid w:val="00757AB8"/>
    <w:rsid w:val="00774AB9"/>
    <w:rsid w:val="0078014A"/>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36094"/>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D6C64"/>
    <w:rsid w:val="009E3163"/>
    <w:rsid w:val="009F16F8"/>
    <w:rsid w:val="009F559F"/>
    <w:rsid w:val="00A146C3"/>
    <w:rsid w:val="00A22466"/>
    <w:rsid w:val="00A4070F"/>
    <w:rsid w:val="00A603D1"/>
    <w:rsid w:val="00A74B54"/>
    <w:rsid w:val="00A81DED"/>
    <w:rsid w:val="00A85318"/>
    <w:rsid w:val="00A91461"/>
    <w:rsid w:val="00A926A1"/>
    <w:rsid w:val="00A926FB"/>
    <w:rsid w:val="00A93C10"/>
    <w:rsid w:val="00AA193B"/>
    <w:rsid w:val="00AA6BC5"/>
    <w:rsid w:val="00AB087A"/>
    <w:rsid w:val="00AB7DD1"/>
    <w:rsid w:val="00AD18CA"/>
    <w:rsid w:val="00AD53C7"/>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BF583C"/>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A4926"/>
    <w:rsid w:val="00DB13DA"/>
    <w:rsid w:val="00DB197B"/>
    <w:rsid w:val="00DB5C10"/>
    <w:rsid w:val="00DC550A"/>
    <w:rsid w:val="00DD2AEF"/>
    <w:rsid w:val="00DE003A"/>
    <w:rsid w:val="00DE2CF0"/>
    <w:rsid w:val="00DF4D56"/>
    <w:rsid w:val="00E167A9"/>
    <w:rsid w:val="00E16E10"/>
    <w:rsid w:val="00E26216"/>
    <w:rsid w:val="00E31559"/>
    <w:rsid w:val="00E401FA"/>
    <w:rsid w:val="00E70ABF"/>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2DDDC9F8-B54E-4AD8-81C3-4698850A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76FB2-F46B-496B-B068-8AE82FA70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740</Words>
  <Characters>4219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14</cp:revision>
  <cp:lastPrinted>2013-08-23T16:35:00Z</cp:lastPrinted>
  <dcterms:created xsi:type="dcterms:W3CDTF">2020-12-04T13:06:00Z</dcterms:created>
  <dcterms:modified xsi:type="dcterms:W3CDTF">2020-12-10T02:51:00Z</dcterms:modified>
</cp:coreProperties>
</file>