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87321D" w:rsidRDefault="003B1773" w:rsidP="003B1773">
      <w:pPr>
        <w:jc w:val="both"/>
        <w:rPr>
          <w:rFonts w:ascii="Arial" w:hAnsi="Arial" w:cs="Arial"/>
          <w:sz w:val="24"/>
          <w:szCs w:val="24"/>
        </w:rPr>
      </w:pPr>
    </w:p>
    <w:p w14:paraId="0B029E15"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hAnsi="Arial" w:cs="Arial"/>
          <w:b/>
          <w:bCs/>
        </w:rPr>
        <w:t>1.</w:t>
      </w:r>
      <w:r w:rsidRPr="0087321D">
        <w:rPr>
          <w:rFonts w:ascii="Arial" w:hAnsi="Arial" w:cs="Arial"/>
        </w:rPr>
        <w:t xml:space="preserve"> </w:t>
      </w:r>
      <w:r w:rsidRPr="0087321D">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87321D"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216CCD4D" w:rsidR="003B1773" w:rsidRPr="0087321D" w:rsidRDefault="00D84AD3" w:rsidP="003B1773">
            <w:pPr>
              <w:jc w:val="both"/>
              <w:rPr>
                <w:rFonts w:ascii="Arial" w:hAnsi="Arial" w:cs="Arial"/>
                <w:sz w:val="24"/>
                <w:szCs w:val="24"/>
              </w:rPr>
            </w:pPr>
            <w:r w:rsidRPr="0087321D">
              <w:rPr>
                <w:rFonts w:ascii="Arial" w:hAnsi="Arial" w:cs="Arial"/>
                <w:sz w:val="24"/>
                <w:szCs w:val="24"/>
              </w:rPr>
              <w:t>PLANES</w:t>
            </w:r>
            <w:r w:rsidR="0038549D" w:rsidRPr="0087321D">
              <w:rPr>
                <w:rFonts w:ascii="Arial" w:hAnsi="Arial" w:cs="Arial"/>
                <w:sz w:val="24"/>
                <w:szCs w:val="24"/>
              </w:rPr>
              <w:t xml:space="preserve"> </w:t>
            </w:r>
            <w:r w:rsidR="00B914D5" w:rsidRPr="0087321D">
              <w:rPr>
                <w:rFonts w:ascii="Arial" w:hAnsi="Arial" w:cs="Arial"/>
                <w:sz w:val="24"/>
                <w:szCs w:val="24"/>
              </w:rPr>
              <w:t>/</w:t>
            </w:r>
            <w:r w:rsidR="0038549D" w:rsidRPr="0087321D">
              <w:rPr>
                <w:rFonts w:ascii="Arial" w:hAnsi="Arial" w:cs="Arial"/>
                <w:sz w:val="24"/>
                <w:szCs w:val="24"/>
              </w:rPr>
              <w:t xml:space="preserve"> </w:t>
            </w:r>
            <w:r w:rsidR="0087321D" w:rsidRPr="0087321D">
              <w:rPr>
                <w:rFonts w:ascii="Arial" w:hAnsi="Arial" w:cs="Arial"/>
                <w:sz w:val="24"/>
                <w:szCs w:val="24"/>
              </w:rPr>
              <w:t>Planes de Comunicación</w:t>
            </w:r>
          </w:p>
        </w:tc>
      </w:tr>
      <w:tr w:rsidR="003B1773" w:rsidRPr="0087321D"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717E42AC" w:rsidR="003B1773" w:rsidRPr="0087321D" w:rsidRDefault="0087321D" w:rsidP="00BB531C">
            <w:pPr>
              <w:jc w:val="both"/>
              <w:rPr>
                <w:rFonts w:ascii="Arial" w:hAnsi="Arial" w:cs="Arial"/>
                <w:sz w:val="24"/>
                <w:szCs w:val="24"/>
              </w:rPr>
            </w:pPr>
            <w:r w:rsidRPr="0087321D">
              <w:rPr>
                <w:rFonts w:ascii="Arial" w:hAnsi="Arial" w:cs="Arial"/>
                <w:sz w:val="24"/>
                <w:szCs w:val="24"/>
              </w:rPr>
              <w:t>Los documentos de esta subserie dan a conocer la disfunción de la imagen pública institucional  que permita potenciar la marca UNAD,  en concordancia con lo establecido en  el Acuerdo 039 del 3 de diciembre de 2019  “Por el cual se modifica el Estatuto Organizacional de la Universidad Nacional Abierta y a Distancia (UNAD). Artículo 62. Funciones de la Gerencia de Comunicaciones y Marketing, numeral a) Gestionar, impulsar, evaluar y hacer seguimiento a los planes de comunicación interna y externa de la Universidad, en todos sus ámbitos de actuación“.</w:t>
            </w:r>
          </w:p>
        </w:tc>
      </w:tr>
      <w:tr w:rsidR="003B1773" w:rsidRPr="0087321D"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169A963D" w:rsidR="00142965" w:rsidRPr="0087321D" w:rsidRDefault="0087321D" w:rsidP="003B1773">
            <w:pPr>
              <w:jc w:val="both"/>
              <w:rPr>
                <w:rFonts w:ascii="Arial" w:hAnsi="Arial" w:cs="Arial"/>
                <w:sz w:val="24"/>
                <w:szCs w:val="24"/>
              </w:rPr>
            </w:pPr>
            <w:r w:rsidRPr="0087321D">
              <w:rPr>
                <w:rFonts w:ascii="Arial" w:hAnsi="Arial" w:cs="Arial"/>
                <w:sz w:val="24"/>
                <w:szCs w:val="24"/>
              </w:rPr>
              <w:t>GERENCIA DE COMUNICACIONES Y MARKETING 113</w:t>
            </w:r>
          </w:p>
        </w:tc>
      </w:tr>
      <w:tr w:rsidR="003B1773" w:rsidRPr="0087321D"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 xml:space="preserve">Desde: </w:t>
            </w:r>
          </w:p>
        </w:tc>
        <w:tc>
          <w:tcPr>
            <w:tcW w:w="854" w:type="pct"/>
            <w:shd w:val="clear" w:color="auto" w:fill="auto"/>
            <w:vAlign w:val="center"/>
          </w:tcPr>
          <w:p w14:paraId="1CFABB83" w14:textId="77777777" w:rsidR="003B1773" w:rsidRPr="0087321D"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Hasta:</w:t>
            </w:r>
          </w:p>
        </w:tc>
        <w:tc>
          <w:tcPr>
            <w:tcW w:w="853" w:type="pct"/>
            <w:shd w:val="clear" w:color="auto" w:fill="auto"/>
            <w:vAlign w:val="center"/>
          </w:tcPr>
          <w:p w14:paraId="26661A2F" w14:textId="77777777" w:rsidR="003B1773" w:rsidRPr="0087321D" w:rsidRDefault="003B1773" w:rsidP="003B1773">
            <w:pPr>
              <w:jc w:val="both"/>
              <w:rPr>
                <w:rFonts w:ascii="Arial" w:hAnsi="Arial" w:cs="Arial"/>
                <w:sz w:val="24"/>
                <w:szCs w:val="24"/>
              </w:rPr>
            </w:pPr>
          </w:p>
        </w:tc>
      </w:tr>
    </w:tbl>
    <w:p w14:paraId="5700AC1A" w14:textId="77777777" w:rsidR="003B1773" w:rsidRPr="0087321D"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hAnsi="Arial" w:cs="Arial"/>
          <w:b/>
          <w:bCs/>
        </w:rPr>
        <w:t xml:space="preserve">2. </w:t>
      </w:r>
      <w:r w:rsidRPr="0087321D">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87321D"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33E324AE" w:rsidR="003B1773" w:rsidRPr="0087321D" w:rsidRDefault="00D84AD3" w:rsidP="00D84AD3">
            <w:pPr>
              <w:autoSpaceDE w:val="0"/>
              <w:autoSpaceDN w:val="0"/>
              <w:adjustRightInd w:val="0"/>
              <w:jc w:val="both"/>
              <w:rPr>
                <w:rFonts w:ascii="Arial" w:hAnsi="Arial" w:cs="Arial"/>
                <w:sz w:val="24"/>
                <w:szCs w:val="24"/>
                <w:lang w:val="es-CO" w:eastAsia="es-CO"/>
              </w:rPr>
            </w:pPr>
            <w:r w:rsidRPr="0087321D">
              <w:rPr>
                <w:rFonts w:ascii="Arial" w:hAnsi="Arial" w:cs="Arial"/>
                <w:sz w:val="24"/>
                <w:szCs w:val="24"/>
                <w:lang w:val="es-CO" w:eastAsia="es-CO"/>
              </w:rPr>
              <w:t xml:space="preserve">Estos documentos </w:t>
            </w:r>
            <w:r w:rsidR="00C76E1D" w:rsidRPr="0087321D">
              <w:rPr>
                <w:rFonts w:ascii="Arial" w:hAnsi="Arial" w:cs="Arial"/>
                <w:sz w:val="24"/>
                <w:szCs w:val="24"/>
              </w:rPr>
              <w:t xml:space="preserve">dan a conocer </w:t>
            </w:r>
            <w:r w:rsidR="0087321D" w:rsidRPr="0087321D">
              <w:rPr>
                <w:rFonts w:ascii="Arial" w:hAnsi="Arial" w:cs="Arial"/>
                <w:sz w:val="24"/>
                <w:szCs w:val="24"/>
              </w:rPr>
              <w:t>la disfunción de la imagen pública institucional  que permita potenciar la marca UNAD.</w:t>
            </w:r>
          </w:p>
        </w:tc>
      </w:tr>
      <w:tr w:rsidR="003B1773" w:rsidRPr="0087321D"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r w:rsidRPr="0087321D">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669CEE09" w14:textId="77777777" w:rsidR="0087321D" w:rsidRPr="0087321D" w:rsidRDefault="0087321D" w:rsidP="0087321D">
            <w:pPr>
              <w:jc w:val="both"/>
              <w:rPr>
                <w:rFonts w:ascii="Arial" w:hAnsi="Arial" w:cs="Arial"/>
                <w:sz w:val="24"/>
                <w:szCs w:val="24"/>
              </w:rPr>
            </w:pPr>
            <w:r w:rsidRPr="0087321D">
              <w:rPr>
                <w:rFonts w:ascii="Arial" w:hAnsi="Arial" w:cs="Arial"/>
                <w:sz w:val="24"/>
                <w:szCs w:val="24"/>
              </w:rPr>
              <w:t>Plan de Comunicaciones</w:t>
            </w:r>
          </w:p>
          <w:p w14:paraId="2D64AD75" w14:textId="77777777" w:rsidR="0087321D" w:rsidRPr="0087321D" w:rsidRDefault="0087321D" w:rsidP="0087321D">
            <w:pPr>
              <w:jc w:val="both"/>
              <w:rPr>
                <w:rFonts w:ascii="Arial" w:hAnsi="Arial" w:cs="Arial"/>
                <w:sz w:val="24"/>
                <w:szCs w:val="24"/>
              </w:rPr>
            </w:pPr>
            <w:r w:rsidRPr="0087321D">
              <w:rPr>
                <w:rFonts w:ascii="Arial" w:hAnsi="Arial" w:cs="Arial"/>
                <w:sz w:val="24"/>
                <w:szCs w:val="24"/>
              </w:rPr>
              <w:t>Reporte de las menciones positivas</w:t>
            </w:r>
          </w:p>
          <w:p w14:paraId="0A5F2159" w14:textId="77777777" w:rsidR="0087321D" w:rsidRPr="0087321D" w:rsidRDefault="0087321D" w:rsidP="0087321D">
            <w:pPr>
              <w:jc w:val="both"/>
              <w:rPr>
                <w:rFonts w:ascii="Arial" w:hAnsi="Arial" w:cs="Arial"/>
                <w:sz w:val="24"/>
                <w:szCs w:val="24"/>
              </w:rPr>
            </w:pPr>
            <w:r w:rsidRPr="0087321D">
              <w:rPr>
                <w:rFonts w:ascii="Arial" w:hAnsi="Arial" w:cs="Arial"/>
                <w:sz w:val="24"/>
                <w:szCs w:val="24"/>
              </w:rPr>
              <w:t>Estadísticas de interacciones en redes sociales</w:t>
            </w:r>
          </w:p>
          <w:p w14:paraId="7E8EFD83" w14:textId="77777777" w:rsidR="0087321D" w:rsidRPr="0087321D" w:rsidRDefault="0087321D" w:rsidP="0087321D">
            <w:pPr>
              <w:jc w:val="both"/>
              <w:rPr>
                <w:rFonts w:ascii="Arial" w:hAnsi="Arial" w:cs="Arial"/>
                <w:sz w:val="24"/>
                <w:szCs w:val="24"/>
              </w:rPr>
            </w:pPr>
            <w:r w:rsidRPr="0087321D">
              <w:rPr>
                <w:rFonts w:ascii="Arial" w:hAnsi="Arial" w:cs="Arial"/>
                <w:sz w:val="24"/>
                <w:szCs w:val="24"/>
              </w:rPr>
              <w:t>Comunicados de matriz de seguimiento a programas estratégicos</w:t>
            </w:r>
          </w:p>
          <w:p w14:paraId="4EA094E8" w14:textId="77777777" w:rsidR="0087321D" w:rsidRPr="0087321D" w:rsidRDefault="0087321D" w:rsidP="0087321D">
            <w:pPr>
              <w:jc w:val="both"/>
              <w:rPr>
                <w:rFonts w:ascii="Arial" w:hAnsi="Arial" w:cs="Arial"/>
                <w:sz w:val="24"/>
                <w:szCs w:val="24"/>
              </w:rPr>
            </w:pPr>
            <w:r w:rsidRPr="0087321D">
              <w:rPr>
                <w:rFonts w:ascii="Arial" w:hAnsi="Arial" w:cs="Arial"/>
                <w:sz w:val="24"/>
                <w:szCs w:val="24"/>
              </w:rPr>
              <w:t>Fotos institucionales</w:t>
            </w:r>
          </w:p>
          <w:p w14:paraId="017D6E1D" w14:textId="77777777" w:rsidR="0087321D" w:rsidRPr="0087321D" w:rsidRDefault="0087321D" w:rsidP="0087321D">
            <w:pPr>
              <w:jc w:val="both"/>
              <w:rPr>
                <w:rFonts w:ascii="Arial" w:hAnsi="Arial" w:cs="Arial"/>
                <w:sz w:val="24"/>
                <w:szCs w:val="24"/>
              </w:rPr>
            </w:pPr>
            <w:r w:rsidRPr="0087321D">
              <w:rPr>
                <w:rFonts w:ascii="Arial" w:hAnsi="Arial" w:cs="Arial"/>
                <w:sz w:val="24"/>
                <w:szCs w:val="24"/>
              </w:rPr>
              <w:t>Registros audiovisuales</w:t>
            </w:r>
          </w:p>
          <w:p w14:paraId="43F5FC3E" w14:textId="77777777" w:rsidR="0087321D" w:rsidRPr="0087321D" w:rsidRDefault="0087321D" w:rsidP="0087321D">
            <w:pPr>
              <w:jc w:val="both"/>
              <w:rPr>
                <w:rFonts w:ascii="Arial" w:hAnsi="Arial" w:cs="Arial"/>
                <w:sz w:val="24"/>
                <w:szCs w:val="24"/>
              </w:rPr>
            </w:pPr>
            <w:r w:rsidRPr="0087321D">
              <w:rPr>
                <w:rFonts w:ascii="Arial" w:hAnsi="Arial" w:cs="Arial"/>
                <w:sz w:val="24"/>
                <w:szCs w:val="24"/>
              </w:rPr>
              <w:t>Comunicación invitación a eventos</w:t>
            </w:r>
          </w:p>
          <w:p w14:paraId="5849CDB5" w14:textId="4EDAA8B8" w:rsidR="00142965" w:rsidRPr="0087321D" w:rsidRDefault="0087321D" w:rsidP="0087321D">
            <w:pPr>
              <w:jc w:val="both"/>
              <w:rPr>
                <w:rFonts w:ascii="Arial" w:hAnsi="Arial" w:cs="Arial"/>
                <w:sz w:val="24"/>
                <w:szCs w:val="24"/>
              </w:rPr>
            </w:pPr>
            <w:r w:rsidRPr="0087321D">
              <w:rPr>
                <w:rFonts w:ascii="Arial" w:hAnsi="Arial" w:cs="Arial"/>
                <w:sz w:val="24"/>
                <w:szCs w:val="24"/>
              </w:rPr>
              <w:t>Reporte de eventos institucionales-</w:t>
            </w:r>
          </w:p>
        </w:tc>
      </w:tr>
      <w:tr w:rsidR="003B1773" w:rsidRPr="0087321D"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r w:rsidRPr="0087321D">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87321D" w:rsidRDefault="003B1773" w:rsidP="003B1773">
            <w:pPr>
              <w:jc w:val="both"/>
              <w:rPr>
                <w:rFonts w:ascii="Arial" w:hAnsi="Arial" w:cs="Arial"/>
                <w:sz w:val="24"/>
                <w:szCs w:val="24"/>
              </w:rPr>
            </w:pPr>
            <w:r w:rsidRPr="0087321D">
              <w:rPr>
                <w:rFonts w:ascii="Arial" w:eastAsia="Arial" w:hAnsi="Arial" w:cs="Arial"/>
                <w:sz w:val="24"/>
                <w:szCs w:val="24"/>
              </w:rPr>
              <w:t>Papel-PDF</w:t>
            </w:r>
          </w:p>
        </w:tc>
      </w:tr>
      <w:tr w:rsidR="003B1773" w:rsidRPr="0087321D"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r w:rsidRPr="0087321D">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87321D" w:rsidRDefault="003B1773" w:rsidP="003B1773">
            <w:pPr>
              <w:jc w:val="both"/>
              <w:rPr>
                <w:rFonts w:ascii="Arial" w:hAnsi="Arial" w:cs="Arial"/>
                <w:sz w:val="24"/>
                <w:szCs w:val="24"/>
              </w:rPr>
            </w:pPr>
            <w:r w:rsidRPr="0087321D">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87321D"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r w:rsidRPr="0087321D">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Administrativo:</w:t>
            </w:r>
          </w:p>
        </w:tc>
        <w:tc>
          <w:tcPr>
            <w:tcW w:w="909" w:type="pct"/>
            <w:shd w:val="clear" w:color="auto" w:fill="auto"/>
            <w:vAlign w:val="center"/>
          </w:tcPr>
          <w:p w14:paraId="6478EF64"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Legal y/o Jurídico:</w:t>
            </w:r>
          </w:p>
        </w:tc>
        <w:tc>
          <w:tcPr>
            <w:tcW w:w="938" w:type="pct"/>
            <w:shd w:val="clear" w:color="auto" w:fill="auto"/>
            <w:vAlign w:val="center"/>
          </w:tcPr>
          <w:p w14:paraId="0E84B289"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Contable:</w:t>
            </w:r>
          </w:p>
        </w:tc>
        <w:tc>
          <w:tcPr>
            <w:tcW w:w="853" w:type="pct"/>
            <w:shd w:val="clear" w:color="auto" w:fill="auto"/>
            <w:vAlign w:val="center"/>
          </w:tcPr>
          <w:p w14:paraId="13C1F821"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Fiscal:</w:t>
            </w:r>
          </w:p>
        </w:tc>
      </w:tr>
      <w:tr w:rsidR="003B1773" w:rsidRPr="0087321D"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3C5BDED8" w:rsidR="003B1773" w:rsidRPr="0087321D" w:rsidRDefault="00940C06" w:rsidP="003B1773">
            <w:pPr>
              <w:jc w:val="both"/>
              <w:rPr>
                <w:rFonts w:ascii="Arial" w:hAnsi="Arial" w:cs="Arial"/>
                <w:sz w:val="24"/>
                <w:szCs w:val="24"/>
              </w:rPr>
            </w:pPr>
            <w:r w:rsidRPr="00045934">
              <w:rPr>
                <w:rFonts w:ascii="Arial" w:hAnsi="Arial" w:cs="Arial"/>
                <w:sz w:val="24"/>
                <w:szCs w:val="24"/>
              </w:rPr>
              <w:t xml:space="preserve">La </w:t>
            </w:r>
            <w:r w:rsidR="00D7209E" w:rsidRPr="00045934">
              <w:rPr>
                <w:rFonts w:ascii="Arial" w:hAnsi="Arial" w:cs="Arial"/>
                <w:sz w:val="24"/>
                <w:szCs w:val="24"/>
              </w:rPr>
              <w:t>sub</w:t>
            </w:r>
            <w:r w:rsidR="003B1773" w:rsidRPr="00045934">
              <w:rPr>
                <w:rFonts w:ascii="Arial" w:hAnsi="Arial" w:cs="Arial"/>
                <w:sz w:val="24"/>
                <w:szCs w:val="24"/>
              </w:rPr>
              <w:t xml:space="preserve">serie </w:t>
            </w:r>
            <w:r w:rsidR="0087321D" w:rsidRPr="00045934">
              <w:rPr>
                <w:rFonts w:ascii="Arial" w:hAnsi="Arial" w:cs="Arial"/>
                <w:sz w:val="24"/>
                <w:szCs w:val="24"/>
              </w:rPr>
              <w:t xml:space="preserve">Planes de Comunicación </w:t>
            </w:r>
            <w:r w:rsidR="003B1773" w:rsidRPr="00045934">
              <w:rPr>
                <w:rFonts w:ascii="Arial" w:hAnsi="Arial" w:cs="Arial"/>
                <w:sz w:val="24"/>
                <w:szCs w:val="24"/>
              </w:rPr>
              <w:t>tuvo valor administrativo ya q</w:t>
            </w:r>
            <w:r w:rsidR="00045934" w:rsidRPr="00045934">
              <w:rPr>
                <w:rFonts w:ascii="Arial" w:hAnsi="Arial" w:cs="Arial"/>
                <w:sz w:val="24"/>
                <w:szCs w:val="24"/>
              </w:rPr>
              <w:t>ue daba a conocer la imagen pública</w:t>
            </w:r>
            <w:r w:rsidR="00045934">
              <w:rPr>
                <w:rFonts w:ascii="Arial" w:hAnsi="Arial" w:cs="Arial"/>
                <w:sz w:val="24"/>
                <w:szCs w:val="24"/>
              </w:rPr>
              <w:t xml:space="preserve"> </w:t>
            </w:r>
            <w:r w:rsidR="00045934">
              <w:rPr>
                <w:rFonts w:ascii="Arial" w:hAnsi="Arial" w:cs="Arial"/>
                <w:sz w:val="24"/>
                <w:szCs w:val="24"/>
              </w:rPr>
              <w:lastRenderedPageBreak/>
              <w:t>institucional a través de los canales de difusión institucional a nivel interno y externo.</w:t>
            </w:r>
          </w:p>
        </w:tc>
        <w:tc>
          <w:tcPr>
            <w:tcW w:w="909" w:type="pct"/>
            <w:shd w:val="clear" w:color="auto" w:fill="auto"/>
            <w:vAlign w:val="center"/>
          </w:tcPr>
          <w:p w14:paraId="20B350C1" w14:textId="08478A70" w:rsidR="003B1773" w:rsidRPr="0087321D" w:rsidRDefault="003B1773" w:rsidP="00045934">
            <w:pPr>
              <w:jc w:val="both"/>
              <w:rPr>
                <w:rFonts w:ascii="Arial" w:hAnsi="Arial" w:cs="Arial"/>
                <w:sz w:val="24"/>
                <w:szCs w:val="24"/>
              </w:rPr>
            </w:pPr>
            <w:r w:rsidRPr="00E3486D">
              <w:rPr>
                <w:rFonts w:ascii="Arial" w:hAnsi="Arial" w:cs="Arial"/>
                <w:sz w:val="24"/>
                <w:szCs w:val="24"/>
              </w:rPr>
              <w:lastRenderedPageBreak/>
              <w:t xml:space="preserve">La </w:t>
            </w:r>
            <w:r w:rsidR="00D7209E" w:rsidRPr="00E3486D">
              <w:rPr>
                <w:rFonts w:ascii="Arial" w:hAnsi="Arial" w:cs="Arial"/>
                <w:sz w:val="24"/>
                <w:szCs w:val="24"/>
              </w:rPr>
              <w:t>sub</w:t>
            </w:r>
            <w:r w:rsidRPr="00E3486D">
              <w:rPr>
                <w:rFonts w:ascii="Arial" w:hAnsi="Arial" w:cs="Arial"/>
                <w:sz w:val="24"/>
                <w:szCs w:val="24"/>
              </w:rPr>
              <w:t xml:space="preserve">serie </w:t>
            </w:r>
            <w:r w:rsidR="0087321D" w:rsidRPr="00E3486D">
              <w:rPr>
                <w:rFonts w:ascii="Arial" w:hAnsi="Arial" w:cs="Arial"/>
                <w:sz w:val="24"/>
                <w:szCs w:val="24"/>
              </w:rPr>
              <w:t xml:space="preserve">Planes de Comunicación </w:t>
            </w:r>
            <w:r w:rsidRPr="00E3486D">
              <w:rPr>
                <w:rFonts w:ascii="Arial" w:hAnsi="Arial" w:cs="Arial"/>
                <w:sz w:val="24"/>
                <w:szCs w:val="24"/>
              </w:rPr>
              <w:t>tuvo valor legal ya que permitía conocer</w:t>
            </w:r>
            <w:r w:rsidR="00045934" w:rsidRPr="00E3486D">
              <w:rPr>
                <w:rFonts w:ascii="Arial" w:hAnsi="Arial" w:cs="Arial"/>
                <w:sz w:val="24"/>
                <w:szCs w:val="24"/>
              </w:rPr>
              <w:t xml:space="preserve"> el desempeño de los pr</w:t>
            </w:r>
            <w:bookmarkStart w:id="0" w:name="_GoBack"/>
            <w:bookmarkEnd w:id="0"/>
            <w:r w:rsidR="00045934" w:rsidRPr="00E3486D">
              <w:rPr>
                <w:rFonts w:ascii="Arial" w:hAnsi="Arial" w:cs="Arial"/>
                <w:sz w:val="24"/>
                <w:szCs w:val="24"/>
              </w:rPr>
              <w:t xml:space="preserve">ocesos de la </w:t>
            </w:r>
            <w:r w:rsidR="00045934" w:rsidRPr="00E3486D">
              <w:rPr>
                <w:rFonts w:ascii="Arial" w:hAnsi="Arial" w:cs="Arial"/>
                <w:sz w:val="24"/>
                <w:szCs w:val="24"/>
              </w:rPr>
              <w:lastRenderedPageBreak/>
              <w:t xml:space="preserve">Universidad Nacional Abierta y a Distancia en cuanto a las propuestas académicas </w:t>
            </w:r>
            <w:r w:rsidR="00045934">
              <w:rPr>
                <w:rFonts w:ascii="Arial" w:hAnsi="Arial" w:cs="Arial"/>
                <w:sz w:val="24"/>
                <w:szCs w:val="24"/>
              </w:rPr>
              <w:t>que ofrece de acuerdo a cada uno de los registros calificados y programas acreditados por el Ministerio de Educación Nacional.</w:t>
            </w:r>
          </w:p>
        </w:tc>
        <w:tc>
          <w:tcPr>
            <w:tcW w:w="938" w:type="pct"/>
            <w:shd w:val="clear" w:color="auto" w:fill="auto"/>
            <w:vAlign w:val="center"/>
          </w:tcPr>
          <w:p w14:paraId="1A2DC279" w14:textId="4BDDA618" w:rsidR="003B1773" w:rsidRPr="0087321D" w:rsidRDefault="003B1773" w:rsidP="00940C06">
            <w:pPr>
              <w:jc w:val="both"/>
              <w:rPr>
                <w:rFonts w:ascii="Arial" w:hAnsi="Arial" w:cs="Arial"/>
                <w:sz w:val="24"/>
                <w:szCs w:val="24"/>
              </w:rPr>
            </w:pPr>
            <w:r w:rsidRPr="0087321D">
              <w:rPr>
                <w:rFonts w:ascii="Arial" w:hAnsi="Arial" w:cs="Arial"/>
                <w:sz w:val="24"/>
                <w:szCs w:val="24"/>
              </w:rPr>
              <w:lastRenderedPageBreak/>
              <w:t xml:space="preserve">La </w:t>
            </w:r>
            <w:r w:rsidR="00D7209E" w:rsidRPr="0087321D">
              <w:rPr>
                <w:rFonts w:ascii="Arial" w:hAnsi="Arial" w:cs="Arial"/>
                <w:sz w:val="24"/>
                <w:szCs w:val="24"/>
              </w:rPr>
              <w:t>sub</w:t>
            </w:r>
            <w:r w:rsidRPr="0087321D">
              <w:rPr>
                <w:rFonts w:ascii="Arial" w:hAnsi="Arial" w:cs="Arial"/>
                <w:sz w:val="24"/>
                <w:szCs w:val="24"/>
              </w:rPr>
              <w:t xml:space="preserve">serie </w:t>
            </w:r>
            <w:r w:rsidR="0087321D" w:rsidRPr="0087321D">
              <w:rPr>
                <w:rFonts w:ascii="Arial" w:hAnsi="Arial" w:cs="Arial"/>
                <w:sz w:val="24"/>
                <w:szCs w:val="24"/>
              </w:rPr>
              <w:t xml:space="preserve">Planes de Comunicación </w:t>
            </w:r>
            <w:r w:rsidRPr="0087321D">
              <w:rPr>
                <w:rFonts w:ascii="Arial" w:hAnsi="Arial" w:cs="Arial"/>
                <w:sz w:val="24"/>
                <w:szCs w:val="24"/>
              </w:rPr>
              <w:t xml:space="preserve">no tuvo valor contable ya que la información que contienen los documentos que </w:t>
            </w:r>
            <w:r w:rsidRPr="0087321D">
              <w:rPr>
                <w:rFonts w:ascii="Arial" w:hAnsi="Arial" w:cs="Arial"/>
                <w:sz w:val="24"/>
                <w:szCs w:val="24"/>
              </w:rPr>
              <w:lastRenderedPageBreak/>
              <w:t xml:space="preserve">la componen no refleja movimientos económicos y/o financieros de la entidad.   </w:t>
            </w:r>
          </w:p>
        </w:tc>
        <w:tc>
          <w:tcPr>
            <w:tcW w:w="853" w:type="pct"/>
            <w:shd w:val="clear" w:color="auto" w:fill="auto"/>
            <w:vAlign w:val="center"/>
          </w:tcPr>
          <w:p w14:paraId="688A64EF" w14:textId="249E8365" w:rsidR="003B1773" w:rsidRPr="0087321D" w:rsidRDefault="003B1773" w:rsidP="00940C06">
            <w:pPr>
              <w:jc w:val="both"/>
              <w:rPr>
                <w:rFonts w:ascii="Arial" w:hAnsi="Arial" w:cs="Arial"/>
                <w:sz w:val="24"/>
                <w:szCs w:val="24"/>
              </w:rPr>
            </w:pPr>
            <w:r w:rsidRPr="0087321D">
              <w:rPr>
                <w:rFonts w:ascii="Arial" w:hAnsi="Arial" w:cs="Arial"/>
                <w:sz w:val="24"/>
                <w:szCs w:val="24"/>
              </w:rPr>
              <w:lastRenderedPageBreak/>
              <w:t>La</w:t>
            </w:r>
            <w:r w:rsidR="00646E2F" w:rsidRPr="0087321D">
              <w:rPr>
                <w:rFonts w:ascii="Arial" w:hAnsi="Arial" w:cs="Arial"/>
                <w:sz w:val="24"/>
                <w:szCs w:val="24"/>
              </w:rPr>
              <w:t xml:space="preserve"> subserie</w:t>
            </w:r>
            <w:r w:rsidRPr="0087321D">
              <w:rPr>
                <w:rFonts w:ascii="Arial" w:hAnsi="Arial" w:cs="Arial"/>
                <w:sz w:val="24"/>
                <w:szCs w:val="24"/>
              </w:rPr>
              <w:t xml:space="preserve"> </w:t>
            </w:r>
            <w:r w:rsidR="0087321D" w:rsidRPr="0087321D">
              <w:rPr>
                <w:rFonts w:ascii="Arial" w:hAnsi="Arial" w:cs="Arial"/>
                <w:sz w:val="24"/>
                <w:szCs w:val="24"/>
              </w:rPr>
              <w:t xml:space="preserve">Planes de Comunicación </w:t>
            </w:r>
            <w:r w:rsidRPr="0087321D">
              <w:rPr>
                <w:rFonts w:ascii="Arial" w:hAnsi="Arial" w:cs="Arial"/>
                <w:sz w:val="24"/>
                <w:szCs w:val="24"/>
              </w:rPr>
              <w:t xml:space="preserve">no tuvo valor fiscal por cuanto no registra documentos decisorios que </w:t>
            </w:r>
            <w:r w:rsidRPr="0087321D">
              <w:rPr>
                <w:rFonts w:ascii="Arial" w:hAnsi="Arial" w:cs="Arial"/>
                <w:sz w:val="24"/>
                <w:szCs w:val="24"/>
              </w:rPr>
              <w:lastRenderedPageBreak/>
              <w:t>comprometan el manejo presupuestal, de bienes o recursos públicos.</w:t>
            </w:r>
          </w:p>
        </w:tc>
      </w:tr>
      <w:tr w:rsidR="003B1773" w:rsidRPr="0087321D"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r w:rsidRPr="0087321D">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87321D" w:rsidRDefault="003A3A72" w:rsidP="00AD356A">
            <w:pPr>
              <w:jc w:val="both"/>
              <w:rPr>
                <w:rFonts w:ascii="Arial" w:hAnsi="Arial" w:cs="Arial"/>
                <w:b/>
                <w:sz w:val="24"/>
                <w:szCs w:val="24"/>
              </w:rPr>
            </w:pPr>
            <w:r w:rsidRPr="0087321D">
              <w:rPr>
                <w:rFonts w:ascii="Arial" w:eastAsia="Arial" w:hAnsi="Arial" w:cs="Arial"/>
                <w:b/>
                <w:sz w:val="24"/>
                <w:szCs w:val="24"/>
              </w:rPr>
              <w:t xml:space="preserve">NTC 4436, del 22 de julio de </w:t>
            </w:r>
            <w:r w:rsidR="00AD356A" w:rsidRPr="0087321D">
              <w:rPr>
                <w:rFonts w:ascii="Arial" w:eastAsia="Arial" w:hAnsi="Arial" w:cs="Arial"/>
                <w:b/>
                <w:sz w:val="24"/>
                <w:szCs w:val="24"/>
              </w:rPr>
              <w:t>1998</w:t>
            </w:r>
            <w:r w:rsidRPr="0087321D">
              <w:rPr>
                <w:rFonts w:ascii="Arial" w:eastAsia="Arial" w:hAnsi="Arial" w:cs="Arial"/>
                <w:sz w:val="24"/>
                <w:szCs w:val="24"/>
              </w:rPr>
              <w:t xml:space="preserve"> </w:t>
            </w:r>
            <w:r w:rsidR="00AD356A" w:rsidRPr="0087321D">
              <w:rPr>
                <w:rFonts w:ascii="Arial" w:eastAsia="Arial" w:hAnsi="Arial" w:cs="Arial"/>
                <w:sz w:val="24"/>
                <w:szCs w:val="24"/>
              </w:rPr>
              <w:t>"Información y documentación. Papel para documentos de Archivo. Requisitos para la permanencia y durabilidad”.</w:t>
            </w:r>
          </w:p>
          <w:p w14:paraId="3DB88D6E" w14:textId="77777777" w:rsidR="005C73B6" w:rsidRPr="0087321D" w:rsidRDefault="00AD356A" w:rsidP="00AD356A">
            <w:pPr>
              <w:jc w:val="both"/>
              <w:rPr>
                <w:rFonts w:ascii="Arial" w:hAnsi="Arial" w:cs="Arial"/>
                <w:b/>
                <w:sz w:val="24"/>
                <w:szCs w:val="24"/>
              </w:rPr>
            </w:pPr>
            <w:r w:rsidRPr="0087321D">
              <w:rPr>
                <w:rFonts w:ascii="Arial" w:eastAsia="Arial" w:hAnsi="Arial" w:cs="Arial"/>
                <w:b/>
                <w:sz w:val="24"/>
                <w:szCs w:val="24"/>
              </w:rPr>
              <w:t>Acuerdo 006 de 2014</w:t>
            </w:r>
            <w:r w:rsidRPr="0087321D">
              <w:rPr>
                <w:rFonts w:ascii="Arial" w:eastAsia="Arial" w:hAnsi="Arial" w:cs="Arial"/>
                <w:sz w:val="24"/>
                <w:szCs w:val="24"/>
              </w:rPr>
              <w:t xml:space="preserve"> sobre “Conservación de Documentos”</w:t>
            </w:r>
          </w:p>
          <w:p w14:paraId="1AE64439" w14:textId="4914CCD9" w:rsidR="00AD356A" w:rsidRPr="0087321D" w:rsidRDefault="0087321D" w:rsidP="006077B6">
            <w:pPr>
              <w:jc w:val="both"/>
              <w:rPr>
                <w:rFonts w:ascii="Arial" w:hAnsi="Arial" w:cs="Arial"/>
                <w:b/>
                <w:sz w:val="24"/>
                <w:szCs w:val="24"/>
              </w:rPr>
            </w:pPr>
            <w:r w:rsidRPr="0087321D">
              <w:rPr>
                <w:rFonts w:ascii="Arial" w:hAnsi="Arial" w:cs="Arial"/>
                <w:b/>
                <w:sz w:val="24"/>
                <w:szCs w:val="24"/>
              </w:rPr>
              <w:t>Acuerdo 039 del 3 de diciembre de 2019</w:t>
            </w:r>
            <w:r w:rsidRPr="0087321D">
              <w:rPr>
                <w:rFonts w:ascii="Arial" w:hAnsi="Arial" w:cs="Arial"/>
                <w:sz w:val="24"/>
                <w:szCs w:val="24"/>
              </w:rPr>
              <w:t xml:space="preserve">  “Por el cual se modifica el Estatuto Organizacional de la Universidad Nacional Abierta y a Distancia (UNAD). Artículo 62. Funciones de la Gerencia de Comunicaciones y Marketing, numeral a)</w:t>
            </w:r>
            <w:r w:rsidR="00C76E1D" w:rsidRPr="0087321D">
              <w:rPr>
                <w:rFonts w:ascii="Arial" w:hAnsi="Arial" w:cs="Arial"/>
                <w:sz w:val="24"/>
                <w:szCs w:val="24"/>
              </w:rPr>
              <w:t>.</w:t>
            </w:r>
            <w:r w:rsidRPr="0087321D">
              <w:rPr>
                <w:rFonts w:ascii="Arial" w:hAnsi="Arial" w:cs="Arial"/>
                <w:sz w:val="24"/>
                <w:szCs w:val="24"/>
              </w:rPr>
              <w:t xml:space="preserve"> todo el literal.</w:t>
            </w:r>
          </w:p>
        </w:tc>
      </w:tr>
    </w:tbl>
    <w:p w14:paraId="76CD6669" w14:textId="28AA55A5" w:rsidR="003B1773" w:rsidRPr="0087321D"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hAnsi="Arial" w:cs="Arial"/>
          <w:b/>
          <w:bCs/>
        </w:rPr>
        <w:t xml:space="preserve">3. </w:t>
      </w:r>
      <w:r w:rsidRPr="0087321D">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87321D"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Tiempo total</w:t>
            </w:r>
          </w:p>
        </w:tc>
      </w:tr>
      <w:tr w:rsidR="003B1773" w:rsidRPr="0087321D"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4DC3F32A" w:rsidR="003B1773" w:rsidRPr="0087321D" w:rsidRDefault="00C76E1D" w:rsidP="003A2443">
            <w:pPr>
              <w:jc w:val="center"/>
              <w:rPr>
                <w:rFonts w:ascii="Arial" w:hAnsi="Arial" w:cs="Arial"/>
                <w:sz w:val="24"/>
                <w:szCs w:val="24"/>
              </w:rPr>
            </w:pPr>
            <w:r w:rsidRPr="0087321D">
              <w:rPr>
                <w:rFonts w:ascii="Arial" w:hAnsi="Arial" w:cs="Arial"/>
                <w:sz w:val="24"/>
                <w:szCs w:val="24"/>
              </w:rPr>
              <w:t>2</w:t>
            </w:r>
          </w:p>
        </w:tc>
        <w:tc>
          <w:tcPr>
            <w:tcW w:w="1145" w:type="pct"/>
            <w:gridSpan w:val="4"/>
            <w:shd w:val="clear" w:color="auto" w:fill="auto"/>
            <w:vAlign w:val="center"/>
          </w:tcPr>
          <w:p w14:paraId="033EBE89" w14:textId="24C57E55" w:rsidR="003B1773" w:rsidRPr="0087321D" w:rsidRDefault="0087321D" w:rsidP="003A2443">
            <w:pPr>
              <w:jc w:val="center"/>
              <w:rPr>
                <w:rFonts w:ascii="Arial" w:hAnsi="Arial" w:cs="Arial"/>
                <w:sz w:val="24"/>
                <w:szCs w:val="24"/>
              </w:rPr>
            </w:pPr>
            <w:r w:rsidRPr="0087321D">
              <w:rPr>
                <w:rFonts w:ascii="Arial" w:hAnsi="Arial" w:cs="Arial"/>
                <w:sz w:val="24"/>
                <w:szCs w:val="24"/>
              </w:rPr>
              <w:t>8</w:t>
            </w:r>
          </w:p>
        </w:tc>
        <w:tc>
          <w:tcPr>
            <w:tcW w:w="1130" w:type="pct"/>
            <w:gridSpan w:val="3"/>
            <w:shd w:val="clear" w:color="auto" w:fill="auto"/>
            <w:vAlign w:val="center"/>
          </w:tcPr>
          <w:p w14:paraId="19204BF6" w14:textId="6D582153" w:rsidR="003B1773" w:rsidRPr="0087321D" w:rsidRDefault="0087321D" w:rsidP="003A2443">
            <w:pPr>
              <w:jc w:val="center"/>
              <w:rPr>
                <w:rFonts w:ascii="Arial" w:hAnsi="Arial" w:cs="Arial"/>
                <w:sz w:val="24"/>
                <w:szCs w:val="24"/>
              </w:rPr>
            </w:pPr>
            <w:r w:rsidRPr="0087321D">
              <w:rPr>
                <w:rFonts w:ascii="Arial" w:hAnsi="Arial" w:cs="Arial"/>
                <w:sz w:val="24"/>
                <w:szCs w:val="24"/>
              </w:rPr>
              <w:t>10</w:t>
            </w:r>
          </w:p>
        </w:tc>
      </w:tr>
      <w:tr w:rsidR="003B1773" w:rsidRPr="0087321D"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Conservación Total</w:t>
            </w:r>
          </w:p>
        </w:tc>
        <w:tc>
          <w:tcPr>
            <w:tcW w:w="426" w:type="pct"/>
            <w:shd w:val="clear" w:color="auto" w:fill="auto"/>
            <w:vAlign w:val="center"/>
          </w:tcPr>
          <w:p w14:paraId="0D982E34" w14:textId="77777777" w:rsidR="003B1773" w:rsidRPr="0087321D" w:rsidRDefault="003B1773" w:rsidP="003B1773">
            <w:pPr>
              <w:jc w:val="both"/>
              <w:rPr>
                <w:rFonts w:ascii="Arial" w:hAnsi="Arial" w:cs="Arial"/>
                <w:sz w:val="24"/>
                <w:szCs w:val="24"/>
              </w:rPr>
            </w:pPr>
            <w:r w:rsidRPr="0087321D">
              <w:rPr>
                <w:rFonts w:ascii="Arial" w:hAnsi="Arial" w:cs="Arial"/>
                <w:sz w:val="24"/>
                <w:szCs w:val="24"/>
              </w:rPr>
              <w:t>X</w:t>
            </w:r>
          </w:p>
        </w:tc>
        <w:tc>
          <w:tcPr>
            <w:tcW w:w="501" w:type="pct"/>
            <w:gridSpan w:val="2"/>
            <w:shd w:val="clear" w:color="auto" w:fill="auto"/>
            <w:vAlign w:val="center"/>
          </w:tcPr>
          <w:p w14:paraId="223133C5"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Eliminación</w:t>
            </w:r>
          </w:p>
        </w:tc>
        <w:tc>
          <w:tcPr>
            <w:tcW w:w="426" w:type="pct"/>
            <w:shd w:val="clear" w:color="auto" w:fill="auto"/>
            <w:vAlign w:val="center"/>
          </w:tcPr>
          <w:p w14:paraId="549BCCDB" w14:textId="77777777" w:rsidR="003B1773" w:rsidRPr="0087321D"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87321D"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87321D" w:rsidRDefault="003B1773" w:rsidP="003B1773">
            <w:pPr>
              <w:jc w:val="both"/>
              <w:rPr>
                <w:rFonts w:ascii="Arial" w:hAnsi="Arial" w:cs="Arial"/>
                <w:sz w:val="24"/>
                <w:szCs w:val="24"/>
              </w:rPr>
            </w:pPr>
            <w:r w:rsidRPr="0087321D">
              <w:rPr>
                <w:rFonts w:ascii="Arial" w:hAnsi="Arial" w:cs="Arial"/>
                <w:b/>
                <w:bCs/>
                <w:sz w:val="24"/>
                <w:szCs w:val="24"/>
              </w:rPr>
              <w:t>Digitalización</w:t>
            </w:r>
          </w:p>
        </w:tc>
        <w:tc>
          <w:tcPr>
            <w:tcW w:w="428" w:type="pct"/>
            <w:shd w:val="clear" w:color="auto" w:fill="auto"/>
            <w:vAlign w:val="center"/>
          </w:tcPr>
          <w:p w14:paraId="5A1060C6" w14:textId="77777777" w:rsidR="003B1773" w:rsidRPr="0087321D" w:rsidRDefault="003B1773" w:rsidP="003B1773">
            <w:pPr>
              <w:jc w:val="both"/>
              <w:rPr>
                <w:rFonts w:ascii="Arial" w:hAnsi="Arial" w:cs="Arial"/>
                <w:sz w:val="24"/>
                <w:szCs w:val="24"/>
              </w:rPr>
            </w:pPr>
            <w:r w:rsidRPr="0087321D">
              <w:rPr>
                <w:rFonts w:ascii="Arial" w:hAnsi="Arial" w:cs="Arial"/>
                <w:sz w:val="24"/>
                <w:szCs w:val="24"/>
              </w:rPr>
              <w:t>X</w:t>
            </w:r>
          </w:p>
        </w:tc>
      </w:tr>
      <w:tr w:rsidR="003B1773" w:rsidRPr="0087321D"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2F969C2D" w:rsidR="00940C06" w:rsidRPr="0087321D" w:rsidRDefault="003E01FD" w:rsidP="0038549D">
            <w:pPr>
              <w:jc w:val="both"/>
              <w:rPr>
                <w:rFonts w:ascii="Arial" w:hAnsi="Arial" w:cs="Arial"/>
                <w:sz w:val="24"/>
                <w:szCs w:val="24"/>
              </w:rPr>
            </w:pPr>
            <w:r w:rsidRPr="003E01FD">
              <w:rPr>
                <w:rFonts w:ascii="Arial" w:hAnsi="Arial" w:cs="Arial"/>
                <w:sz w:val="24"/>
                <w:szCs w:val="24"/>
              </w:rPr>
              <w:t>Cumplido el tiempo de retención la documentación se conserva totalmente ya que adquiere valores secundarios que dan testimonio  de las gestiones realizadas por la entidad para la difusión de su imagen.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Gerencia de Comunicaciones y Marketing con el acompañamiento del grupo de Gestión Documental y Función Notarial.</w:t>
            </w:r>
          </w:p>
        </w:tc>
      </w:tr>
    </w:tbl>
    <w:p w14:paraId="7AA3F478"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87321D"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87321D" w:rsidRDefault="003B1773" w:rsidP="003B1773">
            <w:pPr>
              <w:jc w:val="both"/>
              <w:rPr>
                <w:rFonts w:ascii="Arial" w:hAnsi="Arial" w:cs="Arial"/>
                <w:sz w:val="24"/>
                <w:szCs w:val="24"/>
              </w:rPr>
            </w:pPr>
            <w:r w:rsidRPr="0087321D">
              <w:rPr>
                <w:rFonts w:ascii="Arial" w:hAnsi="Arial" w:cs="Arial"/>
                <w:sz w:val="24"/>
                <w:szCs w:val="24"/>
              </w:rPr>
              <w:t>X</w:t>
            </w:r>
          </w:p>
        </w:tc>
        <w:tc>
          <w:tcPr>
            <w:tcW w:w="854" w:type="pct"/>
            <w:gridSpan w:val="2"/>
            <w:shd w:val="clear" w:color="auto" w:fill="auto"/>
            <w:vAlign w:val="center"/>
          </w:tcPr>
          <w:p w14:paraId="33F470BA"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 xml:space="preserve">No </w:t>
            </w:r>
          </w:p>
        </w:tc>
        <w:tc>
          <w:tcPr>
            <w:tcW w:w="853" w:type="pct"/>
            <w:shd w:val="clear" w:color="auto" w:fill="auto"/>
            <w:vAlign w:val="center"/>
          </w:tcPr>
          <w:p w14:paraId="43955554" w14:textId="77777777" w:rsidR="003B1773" w:rsidRPr="0087321D" w:rsidRDefault="003B1773" w:rsidP="003B1773">
            <w:pPr>
              <w:jc w:val="both"/>
              <w:rPr>
                <w:rFonts w:ascii="Arial" w:hAnsi="Arial" w:cs="Arial"/>
                <w:sz w:val="24"/>
                <w:szCs w:val="24"/>
              </w:rPr>
            </w:pPr>
          </w:p>
        </w:tc>
      </w:tr>
      <w:tr w:rsidR="003B1773" w:rsidRPr="0087321D"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 xml:space="preserve">Si </w:t>
            </w:r>
          </w:p>
        </w:tc>
        <w:tc>
          <w:tcPr>
            <w:tcW w:w="324" w:type="pct"/>
            <w:shd w:val="clear" w:color="auto" w:fill="auto"/>
            <w:vAlign w:val="center"/>
          </w:tcPr>
          <w:p w14:paraId="2B679C4A" w14:textId="77777777" w:rsidR="003B1773" w:rsidRPr="0087321D"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87321D" w:rsidRDefault="003B1773" w:rsidP="003B1773">
            <w:pPr>
              <w:jc w:val="both"/>
              <w:rPr>
                <w:rFonts w:ascii="Arial" w:hAnsi="Arial" w:cs="Arial"/>
                <w:b/>
                <w:bCs/>
                <w:sz w:val="24"/>
                <w:szCs w:val="24"/>
              </w:rPr>
            </w:pPr>
            <w:r w:rsidRPr="0087321D">
              <w:rPr>
                <w:rFonts w:ascii="Arial" w:hAnsi="Arial" w:cs="Arial"/>
                <w:b/>
                <w:bCs/>
                <w:sz w:val="24"/>
                <w:szCs w:val="24"/>
              </w:rPr>
              <w:t xml:space="preserve">No </w:t>
            </w:r>
          </w:p>
        </w:tc>
        <w:tc>
          <w:tcPr>
            <w:tcW w:w="390" w:type="pct"/>
            <w:shd w:val="clear" w:color="auto" w:fill="auto"/>
            <w:vAlign w:val="center"/>
          </w:tcPr>
          <w:p w14:paraId="71D032A0" w14:textId="77777777" w:rsidR="003B1773" w:rsidRPr="0087321D"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87321D" w:rsidRDefault="003B1773" w:rsidP="003B1773">
            <w:pPr>
              <w:jc w:val="both"/>
              <w:rPr>
                <w:rFonts w:ascii="Arial" w:hAnsi="Arial" w:cs="Arial"/>
                <w:sz w:val="24"/>
                <w:szCs w:val="24"/>
              </w:rPr>
            </w:pPr>
            <w:r w:rsidRPr="0087321D">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87321D" w:rsidRDefault="003B1773" w:rsidP="003B1773">
            <w:pPr>
              <w:jc w:val="both"/>
              <w:rPr>
                <w:rFonts w:ascii="Arial" w:hAnsi="Arial" w:cs="Arial"/>
                <w:sz w:val="24"/>
                <w:szCs w:val="24"/>
              </w:rPr>
            </w:pPr>
          </w:p>
        </w:tc>
      </w:tr>
      <w:tr w:rsidR="003B1773" w:rsidRPr="0087321D"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87321D" w:rsidRDefault="003B1773" w:rsidP="003B1773">
            <w:pPr>
              <w:jc w:val="both"/>
              <w:rPr>
                <w:rFonts w:ascii="Arial" w:hAnsi="Arial" w:cs="Arial"/>
                <w:sz w:val="24"/>
                <w:szCs w:val="24"/>
              </w:rPr>
            </w:pPr>
          </w:p>
        </w:tc>
      </w:tr>
    </w:tbl>
    <w:p w14:paraId="3E6C6FAC"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87321D">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87321D"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r w:rsidRPr="0087321D">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87321D" w:rsidRDefault="003B1773" w:rsidP="003B1773">
            <w:pPr>
              <w:jc w:val="both"/>
              <w:rPr>
                <w:rFonts w:ascii="Arial" w:hAnsi="Arial" w:cs="Arial"/>
                <w:sz w:val="24"/>
                <w:szCs w:val="24"/>
              </w:rPr>
            </w:pPr>
            <w:r w:rsidRPr="0087321D">
              <w:rPr>
                <w:rFonts w:ascii="Arial" w:hAnsi="Arial" w:cs="Arial"/>
                <w:sz w:val="24"/>
                <w:szCs w:val="24"/>
              </w:rPr>
              <w:t xml:space="preserve">Oscar Mora Calderón </w:t>
            </w:r>
          </w:p>
        </w:tc>
      </w:tr>
      <w:tr w:rsidR="003B1773" w:rsidRPr="0087321D"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87321D" w:rsidRDefault="003B1773" w:rsidP="003B1773">
            <w:pPr>
              <w:pStyle w:val="NormalWeb"/>
              <w:spacing w:before="0" w:beforeAutospacing="0" w:after="0" w:afterAutospacing="0" w:line="276" w:lineRule="auto"/>
              <w:jc w:val="both"/>
              <w:rPr>
                <w:rFonts w:ascii="Arial" w:hAnsi="Arial" w:cs="Arial"/>
              </w:rPr>
            </w:pPr>
            <w:r w:rsidRPr="0087321D">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87321D" w:rsidRDefault="003B1773" w:rsidP="003B1773">
            <w:pPr>
              <w:pStyle w:val="NormalWeb"/>
              <w:spacing w:before="0" w:beforeAutospacing="0" w:after="0" w:afterAutospacing="0" w:line="276" w:lineRule="auto"/>
              <w:jc w:val="both"/>
              <w:rPr>
                <w:rFonts w:ascii="Arial" w:hAnsi="Arial" w:cs="Arial"/>
                <w:b/>
                <w:bCs/>
              </w:rPr>
            </w:pPr>
            <w:r w:rsidRPr="0087321D">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87321D" w:rsidRDefault="003B1773" w:rsidP="003B1773">
            <w:pPr>
              <w:jc w:val="both"/>
              <w:rPr>
                <w:rFonts w:ascii="Arial" w:hAnsi="Arial" w:cs="Arial"/>
                <w:sz w:val="24"/>
                <w:szCs w:val="24"/>
              </w:rPr>
            </w:pPr>
            <w:r w:rsidRPr="0087321D">
              <w:rPr>
                <w:rFonts w:ascii="Arial" w:hAnsi="Arial" w:cs="Arial"/>
                <w:sz w:val="24"/>
                <w:szCs w:val="24"/>
              </w:rPr>
              <w:t>2/12/2020</w:t>
            </w:r>
          </w:p>
        </w:tc>
      </w:tr>
      <w:tr w:rsidR="003B1773" w:rsidRPr="0087321D"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87321D" w:rsidRDefault="003B1773" w:rsidP="003B1773">
            <w:pPr>
              <w:jc w:val="both"/>
              <w:rPr>
                <w:rFonts w:ascii="Arial" w:hAnsi="Arial" w:cs="Arial"/>
                <w:sz w:val="24"/>
                <w:szCs w:val="24"/>
              </w:rPr>
            </w:pPr>
          </w:p>
        </w:tc>
      </w:tr>
    </w:tbl>
    <w:p w14:paraId="35B93914" w14:textId="77777777" w:rsidR="003B1773" w:rsidRPr="008732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87321D" w:rsidRDefault="008133ED" w:rsidP="003B1773">
      <w:pPr>
        <w:jc w:val="both"/>
        <w:rPr>
          <w:rFonts w:ascii="Arial" w:eastAsia="Arial" w:hAnsi="Arial" w:cs="Arial"/>
          <w:sz w:val="24"/>
          <w:szCs w:val="24"/>
        </w:rPr>
      </w:pPr>
    </w:p>
    <w:p w14:paraId="59988D5F" w14:textId="77777777" w:rsidR="003A2443" w:rsidRPr="0087321D" w:rsidRDefault="003A2443">
      <w:pPr>
        <w:jc w:val="both"/>
        <w:rPr>
          <w:rFonts w:ascii="Arial" w:eastAsia="Arial" w:hAnsi="Arial" w:cs="Arial"/>
          <w:sz w:val="24"/>
          <w:szCs w:val="24"/>
        </w:rPr>
      </w:pPr>
    </w:p>
    <w:p w14:paraId="024585D4" w14:textId="77777777" w:rsidR="00412401" w:rsidRPr="0087321D" w:rsidRDefault="00412401">
      <w:pPr>
        <w:jc w:val="both"/>
        <w:rPr>
          <w:rFonts w:ascii="Arial" w:eastAsia="Arial" w:hAnsi="Arial" w:cs="Arial"/>
          <w:sz w:val="24"/>
          <w:szCs w:val="24"/>
        </w:rPr>
      </w:pPr>
    </w:p>
    <w:sectPr w:rsidR="00412401" w:rsidRPr="0087321D"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C27F0" w14:textId="77777777" w:rsidR="00814A76" w:rsidRDefault="00814A76">
      <w:r>
        <w:separator/>
      </w:r>
    </w:p>
  </w:endnote>
  <w:endnote w:type="continuationSeparator" w:id="0">
    <w:p w14:paraId="6E3092AD" w14:textId="77777777" w:rsidR="00814A76" w:rsidRDefault="0081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DC25F" w14:textId="77777777" w:rsidR="00814A76" w:rsidRDefault="00814A76">
      <w:r>
        <w:separator/>
      </w:r>
    </w:p>
  </w:footnote>
  <w:footnote w:type="continuationSeparator" w:id="0">
    <w:p w14:paraId="37E84336" w14:textId="77777777" w:rsidR="00814A76" w:rsidRDefault="00814A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14A76"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78126C0"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E3486D" w:rsidRPr="00E3486D">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E3486D" w:rsidRPr="00E3486D">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45934"/>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409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4A76"/>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3486D"/>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414CF0D6-F56C-45DD-A355-859994B89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06D34-E521-488A-B2A2-9CC5F1AC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695</Words>
  <Characters>3966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36</cp:revision>
  <cp:lastPrinted>2013-08-23T16:35:00Z</cp:lastPrinted>
  <dcterms:created xsi:type="dcterms:W3CDTF">2020-12-04T13:06:00Z</dcterms:created>
  <dcterms:modified xsi:type="dcterms:W3CDTF">2020-12-14T20:33:00Z</dcterms:modified>
</cp:coreProperties>
</file>